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eastAsia="宋体"/>
          <w:sz w:val="22"/>
          <w:szCs w:val="22"/>
          <w:lang w:eastAsia="zh-CN"/>
        </w:rPr>
        <w:t>11</w:t>
      </w:r>
      <w:r>
        <w:rPr>
          <w:rFonts w:hint="eastAsia" w:ascii="Times New Roman" w:hAnsi="Times New Roman" w:eastAsia="宋体"/>
          <w:sz w:val="22"/>
          <w:szCs w:val="22"/>
          <w:lang w:eastAsia="zh-CN"/>
        </w:rPr>
        <w:t>3</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hAnsi="Times New Roman" w:eastAsia="宋体"/>
          <w:sz w:val="22"/>
          <w:szCs w:val="22"/>
          <w:lang w:eastAsia="zh-CN"/>
        </w:rPr>
        <w:t>30</w:t>
      </w:r>
      <w:r>
        <w:rPr>
          <w:rFonts w:hint="eastAsia" w:ascii="Times New Roman" w:hAnsi="Times New Roman" w:eastAsia="宋体"/>
          <w:sz w:val="22"/>
          <w:szCs w:val="22"/>
          <w:lang w:eastAsia="zh-CN"/>
        </w:rPr>
        <w:t>4397</w:t>
      </w:r>
    </w:p>
    <w:p>
      <w:pPr>
        <w:tabs>
          <w:tab w:val="center" w:pos="4536"/>
          <w:tab w:val="right" w:pos="9072"/>
        </w:tabs>
        <w:spacing w:before="108" w:after="108"/>
        <w:rPr>
          <w:rFonts w:eastAsia="宋体"/>
          <w:b/>
          <w:bCs/>
          <w:sz w:val="23"/>
          <w:szCs w:val="23"/>
        </w:rPr>
      </w:pPr>
      <w:r>
        <w:rPr>
          <w:rFonts w:hint="eastAsia" w:eastAsia="宋体"/>
          <w:b/>
          <w:sz w:val="22"/>
        </w:rPr>
        <w:t>Incheon</w:t>
      </w:r>
      <w:r>
        <w:rPr>
          <w:b/>
          <w:sz w:val="22"/>
        </w:rPr>
        <w:t>,</w:t>
      </w:r>
      <w:r>
        <w:rPr>
          <w:rFonts w:hint="eastAsia" w:eastAsia="宋体"/>
          <w:b/>
          <w:sz w:val="22"/>
        </w:rPr>
        <w:t xml:space="preserve"> Korea,</w:t>
      </w:r>
      <w:r>
        <w:rPr>
          <w:b/>
          <w:sz w:val="22"/>
        </w:rPr>
        <w:t xml:space="preserve"> </w:t>
      </w:r>
      <w:r>
        <w:rPr>
          <w:rFonts w:hint="eastAsia" w:eastAsia="宋体"/>
          <w:b/>
          <w:sz w:val="22"/>
        </w:rPr>
        <w:t>May</w:t>
      </w:r>
      <w:r>
        <w:rPr>
          <w:rFonts w:eastAsia="MS Mincho"/>
          <w:b/>
          <w:sz w:val="22"/>
          <w:lang w:eastAsia="ja-JP"/>
        </w:rPr>
        <w:t xml:space="preserve"> </w:t>
      </w:r>
      <w:r>
        <w:rPr>
          <w:rFonts w:hint="eastAsia" w:eastAsia="宋体"/>
          <w:b/>
          <w:sz w:val="22"/>
        </w:rPr>
        <w:t>22</w:t>
      </w:r>
      <w:r>
        <w:rPr>
          <w:rFonts w:hint="eastAsia" w:eastAsia="宋体"/>
          <w:b/>
          <w:sz w:val="22"/>
          <w:vertAlign w:val="superscript"/>
        </w:rPr>
        <w:t>nd</w:t>
      </w:r>
      <w:r>
        <w:rPr>
          <w:rFonts w:eastAsia="MS Mincho"/>
          <w:b/>
          <w:sz w:val="22"/>
          <w:lang w:eastAsia="ja-JP"/>
        </w:rPr>
        <w:t xml:space="preserve"> – </w:t>
      </w:r>
      <w:r>
        <w:rPr>
          <w:rFonts w:hint="eastAsia" w:eastAsia="宋体"/>
          <w:b/>
          <w:sz w:val="22"/>
        </w:rPr>
        <w:t>May</w:t>
      </w:r>
      <w:r>
        <w:rPr>
          <w:rFonts w:eastAsia="MS Mincho"/>
          <w:b/>
          <w:sz w:val="22"/>
          <w:lang w:eastAsia="ja-JP"/>
        </w:rPr>
        <w:t xml:space="preserve"> 26</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pPr>
        <w:pStyle w:val="24"/>
        <w:tabs>
          <w:tab w:val="left" w:pos="1805"/>
          <w:tab w:val="clear" w:pos="4536"/>
        </w:tabs>
        <w:spacing w:before="108" w:after="108"/>
        <w:ind w:left="1803" w:hanging="1803"/>
        <w:rPr>
          <w:rFonts w:ascii="Times New Roman" w:hAnsi="Times New Roman"/>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4"/>
        <w:tabs>
          <w:tab w:val="left" w:pos="1800"/>
        </w:tabs>
        <w:spacing w:before="108" w:after="108"/>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sz w:val="22"/>
          <w:szCs w:val="22"/>
          <w:lang w:eastAsia="zh-CN"/>
        </w:rPr>
        <w:t>Enhancements on UL precoding indication for multi-panel transmission</w:t>
      </w:r>
    </w:p>
    <w:p>
      <w:pPr>
        <w:pStyle w:val="24"/>
        <w:tabs>
          <w:tab w:val="left" w:pos="1800"/>
        </w:tabs>
        <w:spacing w:before="108" w:after="108"/>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ascii="Times New Roman" w:hAnsi="Times New Roman" w:eastAsia="宋体"/>
          <w:sz w:val="22"/>
          <w:szCs w:val="22"/>
          <w:lang w:eastAsia="zh-CN"/>
        </w:rPr>
        <w:t>9.1.4.1</w:t>
      </w:r>
    </w:p>
    <w:p>
      <w:pPr>
        <w:pBdr>
          <w:bottom w:val="single" w:color="auto" w:sz="6" w:space="1"/>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pPr>
      <w:r>
        <w:rPr>
          <w:rFonts w:eastAsia="宋体"/>
        </w:rPr>
        <w:t xml:space="preserve">In 3GPP RAN#94-e meeting, </w:t>
      </w:r>
      <w:r>
        <w:t xml:space="preserve">a new work item on </w:t>
      </w:r>
      <w:r>
        <w:rPr>
          <w:rFonts w:eastAsia="宋体"/>
        </w:rPr>
        <w:t xml:space="preserve">MIMO evolution for downlink and uplink </w:t>
      </w:r>
      <w:r>
        <w:t>has been approved</w:t>
      </w:r>
      <w:r>
        <w:rPr>
          <w:rFonts w:eastAsia="宋体"/>
        </w:rPr>
        <w:t xml:space="preserve"> in </w:t>
      </w:r>
      <w:r>
        <w:t xml:space="preserve">[1]. As shown </w:t>
      </w:r>
      <w:r>
        <w:rPr>
          <w:rFonts w:eastAsia="宋体"/>
        </w:rPr>
        <w:t xml:space="preserve">in </w:t>
      </w:r>
      <w:r>
        <w:t xml:space="preserve">below, the enhancement on </w:t>
      </w:r>
      <w:r>
        <w:rPr>
          <w:bCs/>
        </w:rPr>
        <w:t>simultaneous UL transmission</w:t>
      </w:r>
      <w:r>
        <w:rPr>
          <w:rFonts w:eastAsia="宋体"/>
          <w:bCs/>
        </w:rPr>
        <w:t xml:space="preserve"> across </w:t>
      </w:r>
      <w:r>
        <w:rPr>
          <w:bCs/>
        </w:rPr>
        <w:t>multi-panel</w:t>
      </w:r>
      <w:r>
        <w:rPr>
          <w:rFonts w:eastAsia="宋体"/>
          <w:bCs/>
        </w:rPr>
        <w:t xml:space="preserve"> to MTRP operation</w:t>
      </w:r>
      <w:r>
        <w:t xml:space="preserve"> is one of the objectives for this WI: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5"/>
              </w:numPr>
              <w:spacing w:before="108" w:after="108" w:line="240" w:lineRule="auto"/>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pPr>
              <w:numPr>
                <w:ilvl w:val="1"/>
                <w:numId w:val="6"/>
              </w:numPr>
              <w:spacing w:before="108" w:after="108" w:line="240" w:lineRule="auto"/>
              <w:ind w:left="840"/>
              <w:rPr>
                <w:bCs/>
              </w:rPr>
            </w:pPr>
            <w:r>
              <w:rPr>
                <w:bCs/>
              </w:rPr>
              <w:t>UL precoding indication for PUSCH, where no new codebook is introduced for multi-panel simultaneous transmission</w:t>
            </w:r>
          </w:p>
          <w:p>
            <w:pPr>
              <w:numPr>
                <w:ilvl w:val="2"/>
                <w:numId w:val="7"/>
              </w:numPr>
              <w:tabs>
                <w:tab w:val="left" w:pos="1418"/>
              </w:tabs>
              <w:spacing w:before="108" w:after="108" w:line="240" w:lineRule="auto"/>
              <w:ind w:left="1260"/>
              <w:rPr>
                <w:bCs/>
              </w:rPr>
            </w:pPr>
            <w:r>
              <w:rPr>
                <w:bCs/>
              </w:rPr>
              <w:t>The total number of layers is up to four across all panels and total number of codewords is up to two across all panels, considering single DCI and multi-DCI based multi-TRP operation.</w:t>
            </w:r>
          </w:p>
          <w:p>
            <w:pPr>
              <w:numPr>
                <w:ilvl w:val="1"/>
                <w:numId w:val="8"/>
              </w:numPr>
              <w:spacing w:before="108" w:after="108" w:line="240" w:lineRule="auto"/>
              <w:ind w:left="840"/>
              <w:rPr>
                <w:bCs/>
              </w:rPr>
            </w:pPr>
            <w:r>
              <w:rPr>
                <w:bCs/>
              </w:rPr>
              <w:t>UL beam indication for PUCCH/PUSCH, where unified TCI framework extension in objective 2 is assumed, considering single DCI and multi-DCI based multi-TRP operation</w:t>
            </w:r>
          </w:p>
          <w:p>
            <w:pPr>
              <w:numPr>
                <w:ilvl w:val="2"/>
                <w:numId w:val="9"/>
              </w:numPr>
              <w:spacing w:before="108" w:after="108" w:line="240" w:lineRule="auto"/>
              <w:ind w:left="1260"/>
            </w:pPr>
            <w:r>
              <w:rPr>
                <w:bCs/>
              </w:rPr>
              <w:t>For the case of multi-DCI based multi-TRP operation, only PUSCH+PUSCH, or PUCCH+PUCCH is transmitted across two panels in a same CC.</w:t>
            </w:r>
          </w:p>
        </w:tc>
      </w:tr>
    </w:tbl>
    <w:p>
      <w:pPr>
        <w:spacing w:before="108" w:after="108"/>
      </w:pPr>
      <w:r>
        <w:t>In this contribution, we present our views on UL precoding indication for multi-panel transmission</w:t>
      </w:r>
      <w:r>
        <w:rPr>
          <w:rFonts w:eastAsia="宋体"/>
        </w:rPr>
        <w:t xml:space="preserve"> in Rel-18</w:t>
      </w:r>
      <w:r>
        <w:t>.</w:t>
      </w:r>
    </w:p>
    <w:p>
      <w:pPr>
        <w:pStyle w:val="2"/>
        <w:keepNext/>
        <w:tabs>
          <w:tab w:val="left" w:pos="3686"/>
          <w:tab w:val="left" w:pos="4536"/>
        </w:tabs>
        <w:spacing w:before="360" w:beforeLines="100" w:after="180" w:line="240" w:lineRule="auto"/>
        <w:textAlignment w:val="baseline"/>
        <w:rPr>
          <w:lang w:val="en-US"/>
        </w:rPr>
      </w:pPr>
      <w:r>
        <w:rPr>
          <w:lang w:val="en-US"/>
        </w:rPr>
        <w:t>Single DCI based STxMP SDM</w:t>
      </w:r>
      <w:r>
        <w:rPr>
          <w:rFonts w:hint="eastAsia"/>
          <w:lang w:val="en-US"/>
        </w:rPr>
        <w:t>/SFN</w:t>
      </w:r>
      <w:r>
        <w:rPr>
          <w:lang w:val="en-US"/>
        </w:rPr>
        <w:t xml:space="preserve"> PUSCH</w:t>
      </w:r>
    </w:p>
    <w:p>
      <w:pPr>
        <w:pStyle w:val="3"/>
        <w:spacing w:before="180" w:after="180"/>
        <w:rPr>
          <w:lang w:val="en-US"/>
        </w:rPr>
      </w:pPr>
      <w:r>
        <w:rPr>
          <w:rFonts w:hint="eastAsia"/>
          <w:lang w:val="en-US"/>
        </w:rPr>
        <w:t>SRI/TPMI field design for dynamic switching between SDM/SFN and sTRP</w:t>
      </w:r>
    </w:p>
    <w:p>
      <w:pPr>
        <w:spacing w:before="108" w:after="108"/>
        <w:rPr>
          <w:rFonts w:eastAsia="宋体"/>
        </w:rPr>
      </w:pPr>
      <w:r>
        <w:rPr>
          <w:rFonts w:hint="eastAsia" w:eastAsia="宋体"/>
        </w:rPr>
        <w:t xml:space="preserve">Regarding the usage of SRI/TPMI field in case of dynamic switching between SDM/SFN and sTRP (especially in sTRP operation with respect to codepoints </w:t>
      </w:r>
      <w:r>
        <w:rPr>
          <w:rFonts w:eastAsia="宋体"/>
        </w:rPr>
        <w:t>“</w:t>
      </w:r>
      <w:r>
        <w:rPr>
          <w:rFonts w:hint="eastAsia" w:eastAsia="宋体"/>
        </w:rPr>
        <w:t>00</w:t>
      </w:r>
      <w:r>
        <w:rPr>
          <w:rFonts w:eastAsia="宋体"/>
        </w:rPr>
        <w:t>”</w:t>
      </w:r>
      <w:r>
        <w:rPr>
          <w:rFonts w:hint="eastAsia" w:eastAsia="宋体"/>
        </w:rPr>
        <w:t xml:space="preserve"> and </w:t>
      </w:r>
      <w:r>
        <w:rPr>
          <w:rFonts w:eastAsia="宋体"/>
        </w:rPr>
        <w:t>“</w:t>
      </w:r>
      <w:r>
        <w:rPr>
          <w:rFonts w:hint="eastAsia" w:eastAsia="宋体"/>
        </w:rPr>
        <w:t>01</w:t>
      </w:r>
      <w:r>
        <w:rPr>
          <w:rFonts w:eastAsia="宋体"/>
        </w:rPr>
        <w:t>”</w:t>
      </w:r>
      <w:r>
        <w:rPr>
          <w:rFonts w:hint="eastAsia" w:eastAsia="宋体"/>
        </w:rPr>
        <w:t xml:space="preserve"> of SRS resource set indicator), the following two agreements were endorsed in RAN1#112b-e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b/>
                <w:bCs/>
                <w:szCs w:val="20"/>
                <w:highlight w:val="none"/>
                <w:u w:val="single"/>
                <w:lang w:val="en-CA"/>
              </w:rPr>
            </w:pPr>
            <w:r>
              <w:rPr>
                <w:b/>
                <w:bCs/>
                <w:szCs w:val="20"/>
                <w:highlight w:val="none"/>
                <w:u w:val="single"/>
                <w:lang w:val="en-CA"/>
              </w:rPr>
              <w:t>Agreement</w:t>
            </w:r>
          </w:p>
          <w:p>
            <w:pPr>
              <w:spacing w:before="108" w:after="108"/>
              <w:rPr>
                <w:szCs w:val="20"/>
                <w:lang w:val="en-CA"/>
              </w:rPr>
            </w:pPr>
            <w:r>
              <w:rPr>
                <w:szCs w:val="20"/>
                <w:lang w:val="en-CA"/>
              </w:rPr>
              <w:t>The codepoints of “SRS resource set indicator” in DCI for dynamic switching between STxMP SDM and sTRP transmission are interpreted and the SRI/TPMI fields are designed as follows:</w:t>
            </w:r>
          </w:p>
          <w:p>
            <w:pPr>
              <w:pStyle w:val="51"/>
              <w:numPr>
                <w:ilvl w:val="0"/>
                <w:numId w:val="10"/>
              </w:numPr>
              <w:spacing w:before="108" w:after="108"/>
              <w:ind w:leftChars="0"/>
              <w:rPr>
                <w:szCs w:val="20"/>
                <w:lang w:val="en-CA"/>
              </w:rPr>
            </w:pPr>
            <w:r>
              <w:rPr>
                <w:szCs w:val="20"/>
                <w:lang w:val="en-CA"/>
              </w:rPr>
              <w:t xml:space="preserve">The codepoints 00 and 01 indicate sTRP transmission. 00 </w:t>
            </w:r>
            <w:r>
              <w:rPr>
                <w:szCs w:val="20"/>
              </w:rPr>
              <w:t>indicates</w:t>
            </w:r>
            <w:r>
              <w:rPr>
                <w:szCs w:val="20"/>
                <w:lang w:val="en-CA"/>
              </w:rPr>
              <w:t xml:space="preserve"> the first SRS resource set and 01 indicates the second SRS resource set. For SRI/TPMI field design, down-select one from the following Alts:</w:t>
            </w:r>
          </w:p>
          <w:p>
            <w:pPr>
              <w:pStyle w:val="51"/>
              <w:numPr>
                <w:ilvl w:val="1"/>
                <w:numId w:val="10"/>
              </w:numPr>
              <w:spacing w:before="108" w:after="108"/>
              <w:ind w:leftChars="0"/>
              <w:rPr>
                <w:szCs w:val="20"/>
                <w:lang w:val="en-CA"/>
              </w:rPr>
            </w:pPr>
            <w:r>
              <w:rPr>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pPr>
              <w:pStyle w:val="51"/>
              <w:numPr>
                <w:ilvl w:val="1"/>
                <w:numId w:val="10"/>
              </w:numPr>
              <w:spacing w:before="108" w:after="108"/>
              <w:ind w:leftChars="0"/>
              <w:rPr>
                <w:szCs w:val="20"/>
              </w:rPr>
            </w:pPr>
            <w:r>
              <w:rPr>
                <w:szCs w:val="20"/>
                <w:lang w:val="en-CA"/>
              </w:rPr>
              <w:t xml:space="preserve">Alt2: </w:t>
            </w:r>
            <w:r>
              <w:rPr>
                <w:szCs w:val="20"/>
              </w:rPr>
              <w:t xml:space="preserve">the DCI has only one SRI field and one TPMI field. The SRI and TPMI field are associated with the first SRS resource set if codepoint=00 or the second SRS resource set if codepoint = 01. </w:t>
            </w:r>
          </w:p>
          <w:p>
            <w:pPr>
              <w:pStyle w:val="51"/>
              <w:numPr>
                <w:ilvl w:val="1"/>
                <w:numId w:val="10"/>
              </w:numPr>
              <w:spacing w:before="108" w:after="108"/>
              <w:ind w:leftChars="0"/>
            </w:pPr>
            <w: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pPr>
              <w:pStyle w:val="51"/>
              <w:numPr>
                <w:ilvl w:val="2"/>
                <w:numId w:val="10"/>
              </w:numPr>
              <w:spacing w:before="108" w:after="108"/>
              <w:ind w:leftChars="0"/>
            </w:pPr>
            <w:r>
              <w:t>FFS: If the concatenated bits are not sufficient, additional bits are appended to concatenated bits in order to support this feature</w:t>
            </w:r>
          </w:p>
          <w:p>
            <w:pPr>
              <w:pStyle w:val="51"/>
              <w:numPr>
                <w:ilvl w:val="1"/>
                <w:numId w:val="10"/>
              </w:numPr>
              <w:spacing w:before="108" w:after="108"/>
              <w:ind w:leftChars="0"/>
              <w:rPr>
                <w:szCs w:val="20"/>
              </w:rPr>
            </w:pPr>
            <w:r>
              <w:rPr>
                <w:szCs w:val="20"/>
              </w:rPr>
              <w:t>Alt4: the DCI has two SRI fields and two TPMI fields.</w:t>
            </w:r>
          </w:p>
          <w:p>
            <w:pPr>
              <w:pStyle w:val="51"/>
              <w:numPr>
                <w:ilvl w:val="2"/>
                <w:numId w:val="10"/>
              </w:numPr>
              <w:spacing w:before="108" w:after="108"/>
              <w:ind w:leftChars="0"/>
              <w:rPr>
                <w:szCs w:val="20"/>
              </w:rPr>
            </w:pPr>
            <w:r>
              <w:rPr>
                <w:szCs w:val="20"/>
              </w:rPr>
              <w:t xml:space="preserve">When the codepoint is 00, the first SRI field and first TPMI field are associated with the first SRS resource set. The second SRI field and second TPMI field are reserved. </w:t>
            </w:r>
          </w:p>
          <w:p>
            <w:pPr>
              <w:pStyle w:val="51"/>
              <w:numPr>
                <w:ilvl w:val="2"/>
                <w:numId w:val="10"/>
              </w:numPr>
              <w:spacing w:before="108" w:after="108"/>
              <w:ind w:leftChars="0"/>
              <w:rPr>
                <w:szCs w:val="20"/>
              </w:rPr>
            </w:pPr>
            <w:r>
              <w:rPr>
                <w:szCs w:val="20"/>
              </w:rPr>
              <w:t>When the codepoint is 01, the second SRI field and second TPMI field are associated with the second SRS resource set. The first SRI field and first TPMI field are reserved.</w:t>
            </w:r>
          </w:p>
          <w:p>
            <w:pPr>
              <w:pStyle w:val="51"/>
              <w:numPr>
                <w:ilvl w:val="0"/>
                <w:numId w:val="10"/>
              </w:numPr>
              <w:spacing w:before="108" w:after="108"/>
              <w:ind w:leftChars="0"/>
              <w:rPr>
                <w:szCs w:val="20"/>
                <w:lang w:val="en-CA"/>
              </w:rPr>
            </w:pPr>
            <w:r>
              <w:rPr>
                <w:szCs w:val="20"/>
                <w:lang w:val="en-CA"/>
              </w:rPr>
              <w:t>The codepoints 10 indicate SDM transmission with the first and second SRS resource set.</w:t>
            </w:r>
          </w:p>
          <w:p>
            <w:pPr>
              <w:pStyle w:val="51"/>
              <w:numPr>
                <w:ilvl w:val="1"/>
                <w:numId w:val="10"/>
              </w:numPr>
              <w:spacing w:before="108" w:after="108"/>
              <w:ind w:leftChars="0"/>
              <w:rPr>
                <w:szCs w:val="20"/>
                <w:lang w:val="en-CA"/>
              </w:rPr>
            </w:pPr>
            <w:r>
              <w:rPr>
                <w:szCs w:val="20"/>
                <w:lang w:val="en-CA"/>
              </w:rPr>
              <w:t>The first SRI field and first TPMI field are associated with the first SRS resource set and they indicate the precoder(s)/rank/SRI for the first SRS resource set.</w:t>
            </w:r>
          </w:p>
          <w:p>
            <w:pPr>
              <w:pStyle w:val="51"/>
              <w:numPr>
                <w:ilvl w:val="1"/>
                <w:numId w:val="10"/>
              </w:numPr>
              <w:spacing w:before="108" w:after="108"/>
              <w:ind w:leftChars="0"/>
              <w:rPr>
                <w:szCs w:val="20"/>
                <w:lang w:val="en-CA"/>
              </w:rPr>
            </w:pPr>
            <w:r>
              <w:rPr>
                <w:szCs w:val="20"/>
                <w:lang w:val="en-CA"/>
              </w:rPr>
              <w:t>The second SRI field and second TPMI field are associated with the first SRS resource set and they indicate the precoder(s)/rank/SRI for the second SRS resource set.</w:t>
            </w:r>
          </w:p>
          <w:p>
            <w:pPr>
              <w:pStyle w:val="51"/>
              <w:numPr>
                <w:ilvl w:val="0"/>
                <w:numId w:val="10"/>
              </w:numPr>
              <w:spacing w:before="108" w:after="108"/>
              <w:ind w:leftChars="0"/>
              <w:rPr>
                <w:lang w:val="en-US"/>
              </w:rPr>
            </w:pPr>
            <w:r>
              <w:rPr>
                <w:szCs w:val="20"/>
                <w:lang w:val="en-CA"/>
              </w:rPr>
              <w:t>FFS: The codepoint 11 is reserved.</w:t>
            </w:r>
          </w:p>
          <w:p>
            <w:pPr>
              <w:pStyle w:val="51"/>
              <w:spacing w:before="108" w:after="108"/>
              <w:ind w:left="0" w:leftChars="0"/>
              <w:rPr>
                <w:szCs w:val="20"/>
                <w:lang w:val="en-CA"/>
              </w:rPr>
            </w:pPr>
          </w:p>
          <w:p>
            <w:pPr>
              <w:spacing w:before="108" w:after="108"/>
              <w:rPr>
                <w:b/>
                <w:bCs/>
                <w:szCs w:val="20"/>
                <w:highlight w:val="none"/>
                <w:u w:val="single"/>
                <w:lang w:val="en-CA"/>
              </w:rPr>
            </w:pPr>
            <w:r>
              <w:rPr>
                <w:b/>
                <w:bCs/>
                <w:szCs w:val="20"/>
                <w:highlight w:val="none"/>
                <w:u w:val="single"/>
                <w:lang w:val="en-CA"/>
              </w:rPr>
              <w:t>Agreement</w:t>
            </w:r>
          </w:p>
          <w:p>
            <w:pPr>
              <w:spacing w:before="108" w:after="108"/>
              <w:rPr>
                <w:rFonts w:ascii="Calibri" w:hAnsi="Calibri" w:cs="Calibri"/>
                <w:sz w:val="22"/>
              </w:rPr>
            </w:pPr>
            <w:r>
              <w:rPr>
                <w:rFonts w:cs="Times"/>
                <w:szCs w:val="20"/>
                <w:lang w:val="en-CA"/>
              </w:rPr>
              <w:t>The codepoints of “SRS resource set indicator” in DCI for dynamic switching between STxMP SFN and sTRP transmission are interpreted and the design of SRI/TPMI fields are as follows:</w:t>
            </w:r>
          </w:p>
          <w:p>
            <w:pPr>
              <w:numPr>
                <w:ilvl w:val="0"/>
                <w:numId w:val="11"/>
              </w:numPr>
              <w:spacing w:before="108" w:after="108"/>
            </w:pPr>
            <w:r>
              <w:rPr>
                <w:rFonts w:cs="Times"/>
                <w:szCs w:val="20"/>
                <w:lang w:val="en-CA"/>
              </w:rPr>
              <w:t>The codepoints 00 and 01 indicate sTRP transmission. 00 </w:t>
            </w:r>
            <w:r>
              <w:rPr>
                <w:rFonts w:cs="Times"/>
                <w:szCs w:val="20"/>
              </w:rPr>
              <w:t>indicates</w:t>
            </w:r>
            <w:r>
              <w:rPr>
                <w:rFonts w:cs="Times"/>
                <w:szCs w:val="20"/>
                <w:lang w:val="en-CA"/>
              </w:rPr>
              <w:t> the first SRS resource set and 01 indicates the second SRS resource set.</w:t>
            </w:r>
            <w:r>
              <w:rPr>
                <w:lang w:val="en-CA"/>
              </w:rPr>
              <w:t xml:space="preserve"> </w:t>
            </w:r>
          </w:p>
          <w:p>
            <w:pPr>
              <w:numPr>
                <w:ilvl w:val="1"/>
                <w:numId w:val="11"/>
              </w:numPr>
              <w:spacing w:before="108" w:after="108"/>
            </w:pPr>
            <w:r>
              <w:rPr>
                <w:rFonts w:cs="Times"/>
                <w:szCs w:val="20"/>
                <w:lang w:val="en-CA"/>
              </w:rPr>
              <w:t>For the design of SRI/TPMI fields, re-use the design that is decided for dynamic switching between STxMP SDM and sTRP transmission.</w:t>
            </w:r>
          </w:p>
          <w:p>
            <w:pPr>
              <w:numPr>
                <w:ilvl w:val="0"/>
                <w:numId w:val="11"/>
              </w:numPr>
              <w:spacing w:before="108" w:after="108"/>
            </w:pPr>
            <w:r>
              <w:rPr>
                <w:rFonts w:cs="Times"/>
                <w:szCs w:val="20"/>
                <w:lang w:val="en-CA"/>
              </w:rPr>
              <w:t>The codepoint 10 indicates STxMP SFN transmission with the first and second SRS resource set.</w:t>
            </w:r>
            <w:r>
              <w:rPr>
                <w:lang w:val="en-CA"/>
              </w:rPr>
              <w:t xml:space="preserve"> </w:t>
            </w:r>
          </w:p>
          <w:p>
            <w:pPr>
              <w:numPr>
                <w:ilvl w:val="1"/>
                <w:numId w:val="11"/>
              </w:numPr>
              <w:spacing w:before="108" w:after="108"/>
            </w:pPr>
            <w:r>
              <w:rPr>
                <w:rFonts w:cs="Times"/>
                <w:szCs w:val="20"/>
                <w:lang w:val="en-CA"/>
              </w:rPr>
              <w:t>The first SRI field and first TPMI field are associated with the first SRS resource set and they indicate the precoder(s)/rank/SRI for the first SRS resource set.</w:t>
            </w:r>
          </w:p>
          <w:p>
            <w:pPr>
              <w:numPr>
                <w:ilvl w:val="1"/>
                <w:numId w:val="11"/>
              </w:numPr>
              <w:spacing w:before="108" w:after="108"/>
            </w:pPr>
            <w:r>
              <w:rPr>
                <w:rFonts w:cs="Times"/>
                <w:szCs w:val="20"/>
                <w:lang w:val="en-CA"/>
              </w:rPr>
              <w:t>The second SRI field and second TPMI field are associated with the </w:t>
            </w:r>
            <w:r>
              <w:rPr>
                <w:rFonts w:cs="Times"/>
                <w:color w:val="FF0000"/>
                <w:szCs w:val="20"/>
                <w:lang w:val="en-CA"/>
              </w:rPr>
              <w:t>second </w:t>
            </w:r>
            <w:r>
              <w:rPr>
                <w:rFonts w:cs="Times"/>
                <w:szCs w:val="20"/>
                <w:lang w:val="en-CA"/>
              </w:rPr>
              <w:t>SRS resource set and they indicate the precoder(s)/SRI for the second SRS resource set (the rank is indicated by the first SRI field for NCB or the first TPMI field for CB)</w:t>
            </w:r>
          </w:p>
          <w:p>
            <w:pPr>
              <w:numPr>
                <w:ilvl w:val="0"/>
                <w:numId w:val="11"/>
              </w:numPr>
              <w:spacing w:before="108" w:after="108"/>
              <w:rPr>
                <w:rFonts w:cs="Times"/>
                <w:szCs w:val="20"/>
              </w:rPr>
            </w:pPr>
            <w:r>
              <w:rPr>
                <w:rFonts w:cs="Times"/>
                <w:szCs w:val="20"/>
                <w:lang w:val="en-CA"/>
              </w:rPr>
              <w:t>FFS: The codepoint 11 is reserved.</w:t>
            </w:r>
          </w:p>
        </w:tc>
      </w:tr>
    </w:tbl>
    <w:p>
      <w:pPr>
        <w:spacing w:before="108" w:after="108"/>
        <w:rPr>
          <w:rFonts w:eastAsia="宋体"/>
        </w:rPr>
      </w:pPr>
      <w:r>
        <w:rPr>
          <w:rFonts w:hint="eastAsia" w:eastAsia="宋体"/>
        </w:rPr>
        <w:t>Given that the design of SDM scheme is reused to SFN scheme, it is to mainly focus on the down-selection between Alts 1-4 for SDM scheme herein. Basically, all of Alts 1-4 can fulfill SRI/TPMI indication for the case of sTRP operation (a.k.a TRP selection as discussed in Rel-17). Nonetheless, the motivation and discrepancy of supporting one of Alts 1-4 should take the acceptable trade-off between DCI overhead consumption and specification effort. Subsequently, the analysis of each Alt is starting from these two aspects. For clarification, maximum number of layers (denoted as maxLayer of SDM or sTRP for discussion hereby) is the only variable with respect to the size of SRI/TPMI field, and the variable caused by per panel antenna port coherency and full power mode will be discussed in section 2.2.</w:t>
      </w:r>
    </w:p>
    <w:p>
      <w:pPr>
        <w:spacing w:before="108" w:after="108"/>
        <w:rPr>
          <w:rFonts w:eastAsia="宋体"/>
          <w:b/>
          <w:bCs/>
          <w:u w:val="single"/>
        </w:rPr>
      </w:pPr>
      <w:r>
        <w:rPr>
          <w:rFonts w:hint="eastAsia" w:eastAsia="宋体"/>
          <w:b/>
          <w:bCs/>
          <w:u w:val="single"/>
        </w:rPr>
        <w:t>Aspect 1: DCI overhead</w:t>
      </w:r>
    </w:p>
    <w:p>
      <w:pPr>
        <w:spacing w:before="108" w:after="108"/>
        <w:rPr>
          <w:rFonts w:eastAsia="宋体"/>
        </w:rPr>
      </w:pPr>
      <w:r>
        <w:rPr>
          <w:rFonts w:hint="eastAsia" w:eastAsia="宋体"/>
        </w:rPr>
        <w:t>The determination of each Alt in terms of SRI/TPMI field size is as follows:</w:t>
      </w:r>
    </w:p>
    <w:p>
      <w:pPr>
        <w:numPr>
          <w:ilvl w:val="0"/>
          <w:numId w:val="12"/>
        </w:numPr>
        <w:spacing w:before="108" w:after="108"/>
        <w:rPr>
          <w:rFonts w:eastAsia="宋体"/>
        </w:rPr>
      </w:pPr>
      <w:r>
        <w:rPr>
          <w:rFonts w:hint="eastAsia" w:eastAsia="宋体"/>
        </w:rPr>
        <w:t>On Alt 1, t</w:t>
      </w:r>
      <w:r>
        <w:rPr>
          <w:szCs w:val="20"/>
          <w:lang w:val="en-CA"/>
        </w:rPr>
        <w:t>he size of 1</w:t>
      </w:r>
      <w:r>
        <w:rPr>
          <w:szCs w:val="20"/>
          <w:vertAlign w:val="superscript"/>
          <w:lang w:val="en-CA"/>
        </w:rPr>
        <w:t>st</w:t>
      </w:r>
      <w:r>
        <w:rPr>
          <w:szCs w:val="20"/>
          <w:lang w:val="en-CA"/>
        </w:rPr>
        <w:t xml:space="preserve"> SRI</w:t>
      </w:r>
      <w:r>
        <w:rPr>
          <w:rFonts w:hint="eastAsia"/>
          <w:szCs w:val="20"/>
        </w:rPr>
        <w:t xml:space="preserve"> field (for NCB) and 1</w:t>
      </w:r>
      <w:r>
        <w:rPr>
          <w:rFonts w:hint="eastAsia"/>
          <w:szCs w:val="20"/>
          <w:vertAlign w:val="superscript"/>
        </w:rPr>
        <w:t>st</w:t>
      </w:r>
      <w:r>
        <w:rPr>
          <w:rFonts w:hint="eastAsia"/>
          <w:szCs w:val="20"/>
        </w:rPr>
        <w:t xml:space="preserve"> TPMI</w:t>
      </w:r>
      <w:r>
        <w:rPr>
          <w:szCs w:val="20"/>
          <w:lang w:val="en-CA"/>
        </w:rPr>
        <w:t xml:space="preserve"> field</w:t>
      </w:r>
      <w:r>
        <w:rPr>
          <w:rFonts w:hint="eastAsia"/>
          <w:szCs w:val="20"/>
        </w:rPr>
        <w:t xml:space="preserve"> (for CB)</w:t>
      </w:r>
      <w:r>
        <w:rPr>
          <w:szCs w:val="20"/>
          <w:lang w:val="en-CA"/>
        </w:rPr>
        <w:t xml:space="preserve"> is determined </w:t>
      </w:r>
      <w:r>
        <w:rPr>
          <w:rFonts w:hint="eastAsia"/>
          <w:szCs w:val="20"/>
        </w:rPr>
        <w:t>by</w:t>
      </w:r>
      <w:r>
        <w:rPr>
          <w:szCs w:val="20"/>
          <w:lang w:val="en-CA"/>
        </w:rPr>
        <w:t xml:space="preserve"> the larger one </w:t>
      </w:r>
      <w:r>
        <w:rPr>
          <w:rFonts w:hint="eastAsia"/>
          <w:szCs w:val="20"/>
        </w:rPr>
        <w:t xml:space="preserve">between </w:t>
      </w:r>
      <w:r>
        <w:rPr>
          <w:szCs w:val="20"/>
          <w:lang w:val="en-CA"/>
        </w:rPr>
        <w:t>{</w:t>
      </w:r>
      <w:r>
        <w:rPr>
          <w:rFonts w:hint="eastAsia"/>
          <w:szCs w:val="20"/>
        </w:rPr>
        <w:t>maxLayer of sTRP</w:t>
      </w:r>
      <w:r>
        <w:rPr>
          <w:szCs w:val="20"/>
          <w:lang w:val="en-CA"/>
        </w:rPr>
        <w:t xml:space="preserve">, </w:t>
      </w:r>
      <w:r>
        <w:rPr>
          <w:rFonts w:hint="eastAsia"/>
          <w:szCs w:val="20"/>
        </w:rPr>
        <w:t>maxLayer of SDM</w:t>
      </w:r>
      <w:r>
        <w:rPr>
          <w:szCs w:val="20"/>
          <w:lang w:val="en-CA"/>
        </w:rPr>
        <w:t>}</w:t>
      </w:r>
      <w:r>
        <w:rPr>
          <w:rFonts w:hint="eastAsia"/>
          <w:szCs w:val="20"/>
        </w:rPr>
        <w:t xml:space="preserve">, </w:t>
      </w:r>
      <w:r>
        <w:rPr>
          <w:rFonts w:hint="eastAsia" w:eastAsia="宋体"/>
        </w:rPr>
        <w:t>t</w:t>
      </w:r>
      <w:r>
        <w:rPr>
          <w:szCs w:val="20"/>
          <w:lang w:val="en-CA"/>
        </w:rPr>
        <w:t xml:space="preserve">he size of </w:t>
      </w:r>
      <w:r>
        <w:rPr>
          <w:rFonts w:hint="eastAsia"/>
          <w:szCs w:val="20"/>
        </w:rPr>
        <w:t>2</w:t>
      </w:r>
      <w:r>
        <w:rPr>
          <w:rFonts w:hint="eastAsia"/>
          <w:szCs w:val="20"/>
          <w:vertAlign w:val="superscript"/>
        </w:rPr>
        <w:t>nd</w:t>
      </w:r>
      <w:r>
        <w:rPr>
          <w:szCs w:val="20"/>
          <w:lang w:val="en-CA"/>
        </w:rPr>
        <w:t xml:space="preserve"> SRI</w:t>
      </w:r>
      <w:r>
        <w:rPr>
          <w:rFonts w:hint="eastAsia"/>
          <w:szCs w:val="20"/>
        </w:rPr>
        <w:t xml:space="preserve"> (for NCB) and 2</w:t>
      </w:r>
      <w:r>
        <w:rPr>
          <w:rFonts w:hint="eastAsia"/>
          <w:szCs w:val="20"/>
          <w:vertAlign w:val="superscript"/>
        </w:rPr>
        <w:t>nd</w:t>
      </w:r>
      <w:r>
        <w:rPr>
          <w:rFonts w:hint="eastAsia"/>
          <w:szCs w:val="20"/>
        </w:rPr>
        <w:t xml:space="preserve"> TPMI</w:t>
      </w:r>
      <w:r>
        <w:rPr>
          <w:szCs w:val="20"/>
          <w:lang w:val="en-CA"/>
        </w:rPr>
        <w:t xml:space="preserve"> field</w:t>
      </w:r>
      <w:r>
        <w:rPr>
          <w:rFonts w:hint="eastAsia"/>
          <w:szCs w:val="20"/>
        </w:rPr>
        <w:t xml:space="preserve"> (for CB)</w:t>
      </w:r>
      <w:r>
        <w:rPr>
          <w:szCs w:val="20"/>
          <w:lang w:val="en-CA"/>
        </w:rPr>
        <w:t xml:space="preserve"> is determined </w:t>
      </w:r>
      <w:r>
        <w:rPr>
          <w:rFonts w:hint="eastAsia"/>
          <w:szCs w:val="20"/>
        </w:rPr>
        <w:t>by</w:t>
      </w:r>
      <w:r>
        <w:rPr>
          <w:szCs w:val="20"/>
          <w:lang w:val="en-CA"/>
        </w:rPr>
        <w:t xml:space="preserve"> </w:t>
      </w:r>
      <w:r>
        <w:rPr>
          <w:rFonts w:hint="eastAsia"/>
          <w:szCs w:val="20"/>
        </w:rPr>
        <w:t>{maxLayer of SDM}</w:t>
      </w:r>
      <w:r>
        <w:rPr>
          <w:szCs w:val="20"/>
          <w:lang w:val="en-CA"/>
        </w:rPr>
        <w:t>.</w:t>
      </w:r>
    </w:p>
    <w:p>
      <w:pPr>
        <w:numPr>
          <w:ilvl w:val="0"/>
          <w:numId w:val="12"/>
        </w:numPr>
        <w:spacing w:before="108" w:after="108"/>
        <w:rPr>
          <w:rFonts w:eastAsia="宋体"/>
        </w:rPr>
      </w:pPr>
      <w:r>
        <w:rPr>
          <w:rFonts w:hint="eastAsia" w:eastAsia="宋体"/>
        </w:rPr>
        <w:t xml:space="preserve">On Alt 2, when </w:t>
      </w:r>
      <w:r>
        <w:rPr>
          <w:szCs w:val="20"/>
        </w:rPr>
        <w:t>sTRP is indicated</w:t>
      </w:r>
      <w:r>
        <w:rPr>
          <w:rFonts w:hint="eastAsia"/>
          <w:szCs w:val="20"/>
        </w:rPr>
        <w:t xml:space="preserve">, the size of the single </w:t>
      </w:r>
      <w:r>
        <w:rPr>
          <w:szCs w:val="20"/>
          <w:lang w:val="en-CA"/>
        </w:rPr>
        <w:t>SRI</w:t>
      </w:r>
      <w:r>
        <w:rPr>
          <w:rFonts w:hint="eastAsia"/>
          <w:szCs w:val="20"/>
        </w:rPr>
        <w:t xml:space="preserve"> field (for NCB) and TPMI</w:t>
      </w:r>
      <w:r>
        <w:rPr>
          <w:szCs w:val="20"/>
          <w:lang w:val="en-CA"/>
        </w:rPr>
        <w:t xml:space="preserve"> field</w:t>
      </w:r>
      <w:r>
        <w:rPr>
          <w:rFonts w:hint="eastAsia"/>
          <w:szCs w:val="20"/>
        </w:rPr>
        <w:t xml:space="preserve"> (for CB) is </w:t>
      </w:r>
      <w:r>
        <w:rPr>
          <w:szCs w:val="20"/>
          <w:lang w:val="en-CA"/>
        </w:rPr>
        <w:t xml:space="preserve">determined </w:t>
      </w:r>
      <w:r>
        <w:rPr>
          <w:rFonts w:hint="eastAsia"/>
          <w:szCs w:val="20"/>
        </w:rPr>
        <w:t>by</w:t>
      </w:r>
      <w:r>
        <w:rPr>
          <w:szCs w:val="20"/>
          <w:lang w:val="en-CA"/>
        </w:rPr>
        <w:t xml:space="preserve"> </w:t>
      </w:r>
      <w:r>
        <w:rPr>
          <w:rFonts w:hint="eastAsia"/>
          <w:szCs w:val="20"/>
        </w:rPr>
        <w:t>{maxLayer of sTRP}. W</w:t>
      </w:r>
      <w:r>
        <w:rPr>
          <w:rFonts w:hint="eastAsia" w:eastAsia="宋体"/>
        </w:rPr>
        <w:t>hen SDM</w:t>
      </w:r>
      <w:r>
        <w:rPr>
          <w:szCs w:val="20"/>
        </w:rPr>
        <w:t xml:space="preserve"> is indicated</w:t>
      </w:r>
      <w:r>
        <w:rPr>
          <w:rFonts w:hint="eastAsia"/>
          <w:szCs w:val="20"/>
        </w:rPr>
        <w:t xml:space="preserve">, </w:t>
      </w:r>
      <w:r>
        <w:rPr>
          <w:rFonts w:hint="eastAsia" w:eastAsia="宋体"/>
        </w:rPr>
        <w:t>t</w:t>
      </w:r>
      <w:r>
        <w:rPr>
          <w:szCs w:val="20"/>
          <w:lang w:val="en-CA"/>
        </w:rPr>
        <w:t>he size of</w:t>
      </w:r>
      <w:r>
        <w:rPr>
          <w:rFonts w:hint="eastAsia"/>
          <w:szCs w:val="20"/>
        </w:rPr>
        <w:t xml:space="preserve"> 1</w:t>
      </w:r>
      <w:r>
        <w:rPr>
          <w:rFonts w:hint="eastAsia"/>
          <w:szCs w:val="20"/>
          <w:vertAlign w:val="superscript"/>
        </w:rPr>
        <w:t>st</w:t>
      </w:r>
      <w:r>
        <w:rPr>
          <w:rFonts w:hint="eastAsia"/>
          <w:szCs w:val="20"/>
        </w:rPr>
        <w:t xml:space="preserve"> and</w:t>
      </w:r>
      <w:r>
        <w:rPr>
          <w:szCs w:val="20"/>
          <w:lang w:val="en-CA"/>
        </w:rPr>
        <w:t xml:space="preserve"> </w:t>
      </w:r>
      <w:r>
        <w:rPr>
          <w:rFonts w:hint="eastAsia"/>
          <w:szCs w:val="20"/>
        </w:rPr>
        <w:t>2</w:t>
      </w:r>
      <w:r>
        <w:rPr>
          <w:rFonts w:hint="eastAsia"/>
          <w:szCs w:val="20"/>
          <w:vertAlign w:val="superscript"/>
        </w:rPr>
        <w:t>nd</w:t>
      </w:r>
      <w:r>
        <w:rPr>
          <w:szCs w:val="20"/>
          <w:lang w:val="en-CA"/>
        </w:rPr>
        <w:t xml:space="preserve"> SRI</w:t>
      </w:r>
      <w:r>
        <w:rPr>
          <w:rFonts w:hint="eastAsia"/>
          <w:szCs w:val="20"/>
        </w:rPr>
        <w:t xml:space="preserve"> fields (for NCB) and TPMI</w:t>
      </w:r>
      <w:r>
        <w:rPr>
          <w:szCs w:val="20"/>
          <w:lang w:val="en-CA"/>
        </w:rPr>
        <w:t xml:space="preserve"> field</w:t>
      </w:r>
      <w:r>
        <w:rPr>
          <w:rFonts w:hint="eastAsia"/>
          <w:szCs w:val="20"/>
        </w:rPr>
        <w:t>s (for CB)</w:t>
      </w:r>
      <w:r>
        <w:rPr>
          <w:szCs w:val="20"/>
          <w:lang w:val="en-CA"/>
        </w:rPr>
        <w:t xml:space="preserve"> </w:t>
      </w:r>
      <w:r>
        <w:rPr>
          <w:rFonts w:hint="eastAsia"/>
          <w:szCs w:val="20"/>
        </w:rPr>
        <w:t xml:space="preserve">is </w:t>
      </w:r>
      <w:r>
        <w:rPr>
          <w:szCs w:val="20"/>
          <w:lang w:val="en-CA"/>
        </w:rPr>
        <w:t xml:space="preserve">determined </w:t>
      </w:r>
      <w:r>
        <w:rPr>
          <w:rFonts w:hint="eastAsia"/>
          <w:szCs w:val="20"/>
        </w:rPr>
        <w:t>by</w:t>
      </w:r>
      <w:r>
        <w:rPr>
          <w:szCs w:val="20"/>
          <w:lang w:val="en-CA"/>
        </w:rPr>
        <w:t xml:space="preserve"> </w:t>
      </w:r>
      <w:r>
        <w:rPr>
          <w:rFonts w:hint="eastAsia"/>
          <w:szCs w:val="20"/>
        </w:rPr>
        <w:t>{maxLayer of SDM}.</w:t>
      </w:r>
    </w:p>
    <w:p>
      <w:pPr>
        <w:numPr>
          <w:ilvl w:val="1"/>
          <w:numId w:val="12"/>
        </w:numPr>
        <w:tabs>
          <w:tab w:val="clear" w:pos="840"/>
        </w:tabs>
        <w:spacing w:before="108" w:after="108"/>
        <w:rPr>
          <w:rFonts w:eastAsia="宋体"/>
        </w:rPr>
      </w:pPr>
      <w:r>
        <w:rPr>
          <w:rFonts w:hint="eastAsia" w:eastAsia="宋体"/>
        </w:rPr>
        <w:t>Note: Z</w:t>
      </w:r>
      <w:r>
        <w:rPr>
          <w:szCs w:val="20"/>
        </w:rPr>
        <w:t xml:space="preserve">ero padding </w:t>
      </w:r>
      <w:r>
        <w:rPr>
          <w:rFonts w:hint="eastAsia"/>
          <w:szCs w:val="20"/>
        </w:rPr>
        <w:t>is needed to be appended in</w:t>
      </w:r>
      <w:r>
        <w:rPr>
          <w:szCs w:val="20"/>
        </w:rPr>
        <w:t xml:space="preserve"> the end of DCI to align the DCI size </w:t>
      </w:r>
      <w:r>
        <w:rPr>
          <w:rFonts w:hint="eastAsia"/>
          <w:szCs w:val="20"/>
        </w:rPr>
        <w:t xml:space="preserve">in case </w:t>
      </w:r>
      <w:r>
        <w:rPr>
          <w:szCs w:val="20"/>
        </w:rPr>
        <w:t>of sTRP and SDM</w:t>
      </w:r>
      <w:r>
        <w:rPr>
          <w:rFonts w:hint="eastAsia"/>
          <w:szCs w:val="20"/>
        </w:rPr>
        <w:t>.</w:t>
      </w:r>
    </w:p>
    <w:p>
      <w:pPr>
        <w:numPr>
          <w:ilvl w:val="0"/>
          <w:numId w:val="12"/>
        </w:numPr>
        <w:spacing w:before="108" w:after="108"/>
        <w:rPr>
          <w:rFonts w:eastAsia="宋体"/>
        </w:rPr>
      </w:pPr>
      <w:r>
        <w:rPr>
          <w:rFonts w:hint="eastAsia" w:eastAsia="宋体"/>
        </w:rPr>
        <w:t xml:space="preserve">On Alt 3, when </w:t>
      </w:r>
      <w:r>
        <w:rPr>
          <w:szCs w:val="20"/>
        </w:rPr>
        <w:t>sTRP is indicated</w:t>
      </w:r>
      <w:r>
        <w:rPr>
          <w:rFonts w:hint="eastAsia"/>
          <w:szCs w:val="20"/>
        </w:rPr>
        <w:t xml:space="preserve">, </w:t>
      </w:r>
      <w:r>
        <w:rPr>
          <w:szCs w:val="20"/>
        </w:rPr>
        <w:t xml:space="preserve">the number of bits of the concatenated </w:t>
      </w:r>
      <w:r>
        <w:rPr>
          <w:szCs w:val="20"/>
          <w:lang w:val="en-CA"/>
        </w:rPr>
        <w:t>SRI</w:t>
      </w:r>
      <w:r>
        <w:rPr>
          <w:rFonts w:hint="eastAsia"/>
          <w:szCs w:val="20"/>
        </w:rPr>
        <w:t xml:space="preserve"> field (for NCB) and TPMI</w:t>
      </w:r>
      <w:r>
        <w:rPr>
          <w:szCs w:val="20"/>
          <w:lang w:val="en-CA"/>
        </w:rPr>
        <w:t xml:space="preserve"> field</w:t>
      </w:r>
      <w:r>
        <w:rPr>
          <w:rFonts w:hint="eastAsia"/>
          <w:szCs w:val="20"/>
        </w:rPr>
        <w:t xml:space="preserve"> (for CB)</w:t>
      </w:r>
      <w:r>
        <w:rPr>
          <w:szCs w:val="20"/>
        </w:rPr>
        <w:t xml:space="preserve"> is determined </w:t>
      </w:r>
      <w:r>
        <w:rPr>
          <w:rFonts w:hint="eastAsia"/>
          <w:szCs w:val="20"/>
        </w:rPr>
        <w:t>by</w:t>
      </w:r>
      <w:r>
        <w:rPr>
          <w:szCs w:val="20"/>
          <w:lang w:val="en-CA"/>
        </w:rPr>
        <w:t xml:space="preserve"> </w:t>
      </w:r>
      <w:r>
        <w:rPr>
          <w:rFonts w:hint="eastAsia"/>
          <w:szCs w:val="20"/>
        </w:rPr>
        <w:t>{maxLayer of sTRP}. W</w:t>
      </w:r>
      <w:r>
        <w:rPr>
          <w:rFonts w:hint="eastAsia" w:eastAsia="宋体"/>
        </w:rPr>
        <w:t>hen SDM</w:t>
      </w:r>
      <w:r>
        <w:rPr>
          <w:szCs w:val="20"/>
        </w:rPr>
        <w:t xml:space="preserve"> is indicated</w:t>
      </w:r>
      <w:r>
        <w:rPr>
          <w:rFonts w:hint="eastAsia"/>
          <w:szCs w:val="20"/>
        </w:rPr>
        <w:t xml:space="preserve">, </w:t>
      </w:r>
      <w:r>
        <w:rPr>
          <w:rFonts w:hint="eastAsia" w:eastAsia="宋体"/>
        </w:rPr>
        <w:t>t</w:t>
      </w:r>
      <w:r>
        <w:rPr>
          <w:szCs w:val="20"/>
          <w:lang w:val="en-CA"/>
        </w:rPr>
        <w:t>he size of</w:t>
      </w:r>
      <w:r>
        <w:rPr>
          <w:rFonts w:hint="eastAsia"/>
          <w:szCs w:val="20"/>
        </w:rPr>
        <w:t xml:space="preserve"> 1</w:t>
      </w:r>
      <w:r>
        <w:rPr>
          <w:rFonts w:hint="eastAsia"/>
          <w:szCs w:val="20"/>
          <w:vertAlign w:val="superscript"/>
        </w:rPr>
        <w:t>st</w:t>
      </w:r>
      <w:r>
        <w:rPr>
          <w:rFonts w:hint="eastAsia"/>
          <w:szCs w:val="20"/>
        </w:rPr>
        <w:t xml:space="preserve"> and</w:t>
      </w:r>
      <w:r>
        <w:rPr>
          <w:szCs w:val="20"/>
          <w:lang w:val="en-CA"/>
        </w:rPr>
        <w:t xml:space="preserve"> </w:t>
      </w:r>
      <w:r>
        <w:rPr>
          <w:rFonts w:hint="eastAsia"/>
          <w:szCs w:val="20"/>
        </w:rPr>
        <w:t>2</w:t>
      </w:r>
      <w:r>
        <w:rPr>
          <w:rFonts w:hint="eastAsia"/>
          <w:szCs w:val="20"/>
          <w:vertAlign w:val="superscript"/>
        </w:rPr>
        <w:t>nd</w:t>
      </w:r>
      <w:r>
        <w:rPr>
          <w:szCs w:val="20"/>
          <w:lang w:val="en-CA"/>
        </w:rPr>
        <w:t xml:space="preserve"> SRI</w:t>
      </w:r>
      <w:r>
        <w:rPr>
          <w:rFonts w:hint="eastAsia"/>
          <w:szCs w:val="20"/>
        </w:rPr>
        <w:t xml:space="preserve"> fields (for NCB) and TPMI</w:t>
      </w:r>
      <w:r>
        <w:rPr>
          <w:szCs w:val="20"/>
          <w:lang w:val="en-CA"/>
        </w:rPr>
        <w:t xml:space="preserve"> field</w:t>
      </w:r>
      <w:r>
        <w:rPr>
          <w:rFonts w:hint="eastAsia"/>
          <w:szCs w:val="20"/>
        </w:rPr>
        <w:t>s (for CB)</w:t>
      </w:r>
      <w:r>
        <w:rPr>
          <w:szCs w:val="20"/>
          <w:lang w:val="en-CA"/>
        </w:rPr>
        <w:t xml:space="preserve"> </w:t>
      </w:r>
      <w:r>
        <w:rPr>
          <w:rFonts w:hint="eastAsia"/>
          <w:szCs w:val="20"/>
        </w:rPr>
        <w:t xml:space="preserve">is </w:t>
      </w:r>
      <w:r>
        <w:rPr>
          <w:szCs w:val="20"/>
          <w:lang w:val="en-CA"/>
        </w:rPr>
        <w:t>determined</w:t>
      </w:r>
      <w:r>
        <w:rPr>
          <w:rFonts w:hint="eastAsia"/>
          <w:szCs w:val="20"/>
        </w:rPr>
        <w:t xml:space="preserve"> by</w:t>
      </w:r>
      <w:r>
        <w:rPr>
          <w:szCs w:val="20"/>
          <w:lang w:val="en-CA"/>
        </w:rPr>
        <w:t xml:space="preserve"> </w:t>
      </w:r>
      <w:r>
        <w:rPr>
          <w:rFonts w:hint="eastAsia"/>
          <w:szCs w:val="20"/>
        </w:rPr>
        <w:t>{maxLayer of SDM}.</w:t>
      </w:r>
    </w:p>
    <w:p>
      <w:pPr>
        <w:numPr>
          <w:ilvl w:val="1"/>
          <w:numId w:val="12"/>
        </w:numPr>
        <w:tabs>
          <w:tab w:val="clear" w:pos="840"/>
        </w:tabs>
        <w:spacing w:before="108" w:after="108"/>
        <w:rPr>
          <w:rFonts w:eastAsia="宋体"/>
        </w:rPr>
      </w:pPr>
      <w:r>
        <w:rPr>
          <w:rFonts w:hint="eastAsia" w:eastAsia="宋体"/>
        </w:rPr>
        <w:t xml:space="preserve">Note: </w:t>
      </w:r>
      <w:r>
        <w:rPr>
          <w:szCs w:val="20"/>
        </w:rPr>
        <w:t xml:space="preserve">If the number of bits </w:t>
      </w:r>
      <w:r>
        <w:rPr>
          <w:rFonts w:hint="eastAsia"/>
          <w:szCs w:val="20"/>
        </w:rPr>
        <w:t xml:space="preserve">of the concatenated SRI/TPMI field </w:t>
      </w:r>
      <w:r>
        <w:rPr>
          <w:szCs w:val="20"/>
        </w:rPr>
        <w:t>is larger than the sum number of bits in the 1</w:t>
      </w:r>
      <w:r>
        <w:rPr>
          <w:szCs w:val="20"/>
          <w:vertAlign w:val="superscript"/>
        </w:rPr>
        <w:t>st</w:t>
      </w:r>
      <w:r>
        <w:rPr>
          <w:szCs w:val="20"/>
        </w:rPr>
        <w:t xml:space="preserve"> and 2</w:t>
      </w:r>
      <w:r>
        <w:rPr>
          <w:szCs w:val="20"/>
          <w:vertAlign w:val="superscript"/>
        </w:rPr>
        <w:t>nd</w:t>
      </w:r>
      <w:r>
        <w:rPr>
          <w:szCs w:val="20"/>
        </w:rPr>
        <w:t xml:space="preserve"> </w:t>
      </w:r>
      <w:r>
        <w:rPr>
          <w:rFonts w:hint="eastAsia"/>
          <w:szCs w:val="20"/>
        </w:rPr>
        <w:t>SRI/TPMI</w:t>
      </w:r>
      <w:r>
        <w:rPr>
          <w:szCs w:val="20"/>
        </w:rPr>
        <w:t xml:space="preserve"> fields, additional bits are </w:t>
      </w:r>
      <w:r>
        <w:rPr>
          <w:rFonts w:hint="eastAsia"/>
          <w:szCs w:val="20"/>
        </w:rPr>
        <w:t xml:space="preserve">needed to be </w:t>
      </w:r>
      <w:r>
        <w:rPr>
          <w:szCs w:val="20"/>
        </w:rPr>
        <w:t>append</w:t>
      </w:r>
      <w:r>
        <w:rPr>
          <w:rFonts w:hint="eastAsia"/>
          <w:szCs w:val="20"/>
        </w:rPr>
        <w:t>ed</w:t>
      </w:r>
      <w:r>
        <w:rPr>
          <w:szCs w:val="20"/>
        </w:rPr>
        <w:t xml:space="preserve"> to </w:t>
      </w:r>
      <w:r>
        <w:rPr>
          <w:rFonts w:hint="eastAsia"/>
          <w:szCs w:val="20"/>
        </w:rPr>
        <w:t xml:space="preserve">the </w:t>
      </w:r>
      <w:r>
        <w:rPr>
          <w:szCs w:val="20"/>
        </w:rPr>
        <w:t xml:space="preserve">concatenated </w:t>
      </w:r>
      <w:r>
        <w:rPr>
          <w:rFonts w:hint="eastAsia"/>
          <w:szCs w:val="20"/>
        </w:rPr>
        <w:t>field</w:t>
      </w:r>
      <w:r>
        <w:rPr>
          <w:szCs w:val="20"/>
        </w:rPr>
        <w:t xml:space="preserve">, and zero padding to the end of DCI is to align the DCI size </w:t>
      </w:r>
      <w:r>
        <w:rPr>
          <w:rFonts w:hint="eastAsia"/>
          <w:szCs w:val="20"/>
        </w:rPr>
        <w:t xml:space="preserve">in case </w:t>
      </w:r>
      <w:r>
        <w:rPr>
          <w:szCs w:val="20"/>
        </w:rPr>
        <w:t>of sTRP and SDM</w:t>
      </w:r>
      <w:r>
        <w:rPr>
          <w:rFonts w:hint="eastAsia"/>
          <w:szCs w:val="20"/>
        </w:rPr>
        <w:t>.</w:t>
      </w:r>
    </w:p>
    <w:p>
      <w:pPr>
        <w:numPr>
          <w:ilvl w:val="0"/>
          <w:numId w:val="12"/>
        </w:numPr>
        <w:spacing w:before="108" w:after="108"/>
        <w:rPr>
          <w:rFonts w:eastAsia="宋体"/>
        </w:rPr>
      </w:pPr>
      <w:r>
        <w:rPr>
          <w:rFonts w:hint="eastAsia" w:eastAsia="宋体"/>
        </w:rPr>
        <w:t>On Alt 4, t</w:t>
      </w:r>
      <w:r>
        <w:rPr>
          <w:szCs w:val="20"/>
          <w:lang w:val="en-CA"/>
        </w:rPr>
        <w:t>he size of 1</w:t>
      </w:r>
      <w:r>
        <w:rPr>
          <w:szCs w:val="20"/>
          <w:vertAlign w:val="superscript"/>
          <w:lang w:val="en-CA"/>
        </w:rPr>
        <w:t>st</w:t>
      </w:r>
      <w:r>
        <w:rPr>
          <w:szCs w:val="20"/>
          <w:lang w:val="en-CA"/>
        </w:rPr>
        <w:t xml:space="preserve"> SRI</w:t>
      </w:r>
      <w:r>
        <w:rPr>
          <w:rFonts w:hint="eastAsia"/>
          <w:szCs w:val="20"/>
        </w:rPr>
        <w:t xml:space="preserve"> field (for NCB) and 1</w:t>
      </w:r>
      <w:r>
        <w:rPr>
          <w:rFonts w:hint="eastAsia"/>
          <w:szCs w:val="20"/>
          <w:vertAlign w:val="superscript"/>
        </w:rPr>
        <w:t>st</w:t>
      </w:r>
      <w:r>
        <w:rPr>
          <w:rFonts w:hint="eastAsia"/>
          <w:szCs w:val="20"/>
        </w:rPr>
        <w:t xml:space="preserve"> TPMI</w:t>
      </w:r>
      <w:r>
        <w:rPr>
          <w:szCs w:val="20"/>
          <w:lang w:val="en-CA"/>
        </w:rPr>
        <w:t xml:space="preserve"> field</w:t>
      </w:r>
      <w:r>
        <w:rPr>
          <w:rFonts w:hint="eastAsia"/>
          <w:szCs w:val="20"/>
        </w:rPr>
        <w:t xml:space="preserve"> (for CB)</w:t>
      </w:r>
      <w:r>
        <w:rPr>
          <w:szCs w:val="20"/>
          <w:lang w:val="en-CA"/>
        </w:rPr>
        <w:t xml:space="preserve"> is determined b</w:t>
      </w:r>
      <w:r>
        <w:rPr>
          <w:rFonts w:hint="eastAsia"/>
          <w:szCs w:val="20"/>
        </w:rPr>
        <w:t>y</w:t>
      </w:r>
      <w:r>
        <w:rPr>
          <w:szCs w:val="20"/>
          <w:lang w:val="en-CA"/>
        </w:rPr>
        <w:t xml:space="preserve"> the larger one </w:t>
      </w:r>
      <w:r>
        <w:rPr>
          <w:rFonts w:hint="eastAsia"/>
          <w:szCs w:val="20"/>
        </w:rPr>
        <w:t xml:space="preserve">between </w:t>
      </w:r>
      <w:r>
        <w:rPr>
          <w:szCs w:val="20"/>
          <w:lang w:val="en-CA"/>
        </w:rPr>
        <w:t>{</w:t>
      </w:r>
      <w:r>
        <w:rPr>
          <w:rFonts w:hint="eastAsia"/>
          <w:szCs w:val="20"/>
        </w:rPr>
        <w:t>maxLayer of sTRP</w:t>
      </w:r>
      <w:r>
        <w:rPr>
          <w:szCs w:val="20"/>
          <w:lang w:val="en-CA"/>
        </w:rPr>
        <w:t xml:space="preserve">, </w:t>
      </w:r>
      <w:r>
        <w:rPr>
          <w:rFonts w:hint="eastAsia"/>
          <w:szCs w:val="20"/>
        </w:rPr>
        <w:t>maxLayer of SDM</w:t>
      </w:r>
      <w:r>
        <w:rPr>
          <w:szCs w:val="20"/>
          <w:lang w:val="en-CA"/>
        </w:rPr>
        <w:t>}</w:t>
      </w:r>
      <w:r>
        <w:rPr>
          <w:rFonts w:hint="eastAsia"/>
          <w:szCs w:val="20"/>
        </w:rPr>
        <w:t xml:space="preserve">, </w:t>
      </w:r>
      <w:r>
        <w:rPr>
          <w:rFonts w:hint="eastAsia" w:eastAsia="宋体"/>
        </w:rPr>
        <w:t>t</w:t>
      </w:r>
      <w:r>
        <w:rPr>
          <w:szCs w:val="20"/>
          <w:lang w:val="en-CA"/>
        </w:rPr>
        <w:t xml:space="preserve">he size of </w:t>
      </w:r>
      <w:r>
        <w:rPr>
          <w:rFonts w:hint="eastAsia"/>
          <w:szCs w:val="20"/>
        </w:rPr>
        <w:t>2</w:t>
      </w:r>
      <w:r>
        <w:rPr>
          <w:rFonts w:hint="eastAsia"/>
          <w:szCs w:val="20"/>
          <w:vertAlign w:val="superscript"/>
        </w:rPr>
        <w:t>nd</w:t>
      </w:r>
      <w:r>
        <w:rPr>
          <w:szCs w:val="20"/>
          <w:lang w:val="en-CA"/>
        </w:rPr>
        <w:t xml:space="preserve"> SRI</w:t>
      </w:r>
      <w:r>
        <w:rPr>
          <w:rFonts w:hint="eastAsia"/>
          <w:szCs w:val="20"/>
        </w:rPr>
        <w:t xml:space="preserve"> (for NCB) and 2</w:t>
      </w:r>
      <w:r>
        <w:rPr>
          <w:rFonts w:hint="eastAsia"/>
          <w:szCs w:val="20"/>
          <w:vertAlign w:val="superscript"/>
        </w:rPr>
        <w:t>nd</w:t>
      </w:r>
      <w:r>
        <w:rPr>
          <w:rFonts w:hint="eastAsia"/>
          <w:szCs w:val="20"/>
        </w:rPr>
        <w:t xml:space="preserve"> TPMI</w:t>
      </w:r>
      <w:r>
        <w:rPr>
          <w:szCs w:val="20"/>
          <w:lang w:val="en-CA"/>
        </w:rPr>
        <w:t xml:space="preserve"> field</w:t>
      </w:r>
      <w:r>
        <w:rPr>
          <w:rFonts w:hint="eastAsia"/>
          <w:szCs w:val="20"/>
        </w:rPr>
        <w:t xml:space="preserve"> (for CB)</w:t>
      </w:r>
      <w:r>
        <w:rPr>
          <w:szCs w:val="20"/>
          <w:lang w:val="en-CA"/>
        </w:rPr>
        <w:t xml:space="preserve"> is determined </w:t>
      </w:r>
      <w:r>
        <w:rPr>
          <w:rFonts w:hint="eastAsia"/>
          <w:szCs w:val="20"/>
        </w:rPr>
        <w:t>by</w:t>
      </w:r>
      <w:r>
        <w:rPr>
          <w:szCs w:val="20"/>
          <w:lang w:val="en-CA"/>
        </w:rPr>
        <w:t xml:space="preserve"> the larger one </w:t>
      </w:r>
      <w:r>
        <w:rPr>
          <w:rFonts w:hint="eastAsia"/>
          <w:szCs w:val="20"/>
        </w:rPr>
        <w:t xml:space="preserve">between </w:t>
      </w:r>
      <w:r>
        <w:rPr>
          <w:szCs w:val="20"/>
          <w:lang w:val="en-CA"/>
        </w:rPr>
        <w:t>{</w:t>
      </w:r>
      <w:r>
        <w:rPr>
          <w:rFonts w:hint="eastAsia"/>
          <w:szCs w:val="20"/>
        </w:rPr>
        <w:t>maxLayer of sTRP</w:t>
      </w:r>
      <w:r>
        <w:rPr>
          <w:szCs w:val="20"/>
          <w:lang w:val="en-CA"/>
        </w:rPr>
        <w:t xml:space="preserve">, </w:t>
      </w:r>
      <w:r>
        <w:rPr>
          <w:rFonts w:hint="eastAsia"/>
          <w:szCs w:val="20"/>
        </w:rPr>
        <w:t>maxLayer of SDM</w:t>
      </w:r>
      <w:r>
        <w:rPr>
          <w:szCs w:val="20"/>
          <w:lang w:val="en-CA"/>
        </w:rPr>
        <w:t>}.</w:t>
      </w:r>
    </w:p>
    <w:p>
      <w:pPr>
        <w:spacing w:before="108" w:after="108"/>
        <w:rPr>
          <w:szCs w:val="20"/>
        </w:rPr>
      </w:pPr>
      <w:r>
        <w:rPr>
          <w:rFonts w:hint="eastAsia"/>
          <w:szCs w:val="20"/>
        </w:rPr>
        <w:t>To figure out how many bits can be reserved when compared to each other among Alts 1-4, the following Table 1 is provided. Note that the key factor of SRI/TPMI field size is the configured maxLayer of sTRP and/or SDM in each Alt, it assumes that maxLayer of SDM is configured to 1 and maxLayer of sTRP is configured to 4 when 4-port PUSCH, and maxLayer of SDM is configured to 1 and maxLayer of sTRP is configured to 2 when 2-ports PUSCH. In this way, it can explicitly derive the greatest gap of SRI/TPMI fields size among Alts 1-4. Besides, to simplify this comparison, full power Mode 1 is disabled.</w:t>
      </w:r>
    </w:p>
    <w:p>
      <w:pPr>
        <w:spacing w:before="108" w:after="108"/>
        <w:jc w:val="center"/>
        <w:rPr>
          <w:szCs w:val="20"/>
        </w:rPr>
      </w:pPr>
      <w:r>
        <w:rPr>
          <w:rFonts w:hint="eastAsia"/>
          <w:b/>
          <w:bCs/>
          <w:szCs w:val="20"/>
        </w:rPr>
        <w:t>Table 1</w:t>
      </w:r>
      <w:r>
        <w:rPr>
          <w:rFonts w:hint="eastAsia"/>
          <w:szCs w:val="20"/>
        </w:rPr>
        <w:tab/>
      </w:r>
      <w:r>
        <w:rPr>
          <w:rFonts w:hint="eastAsia"/>
          <w:szCs w:val="20"/>
        </w:rPr>
        <w:t>Overhead of the total size of SRI/TPMI field(s) in case of Alts 1-4</w:t>
      </w:r>
    </w:p>
    <w:tbl>
      <w:tblPr>
        <w:tblStyle w:val="28"/>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891"/>
        <w:gridCol w:w="289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trPr>
        <w:tc>
          <w:tcPr>
            <w:tcW w:w="1134" w:type="dxa"/>
          </w:tcPr>
          <w:p>
            <w:pPr>
              <w:spacing w:before="108" w:after="108"/>
              <w:jc w:val="left"/>
              <w:rPr>
                <w:szCs w:val="20"/>
              </w:rPr>
            </w:pPr>
          </w:p>
        </w:tc>
        <w:tc>
          <w:tcPr>
            <w:tcW w:w="2891" w:type="dxa"/>
          </w:tcPr>
          <w:p>
            <w:pPr>
              <w:spacing w:before="108" w:after="108"/>
              <w:jc w:val="center"/>
              <w:rPr>
                <w:szCs w:val="20"/>
              </w:rPr>
            </w:pPr>
            <w:r>
              <w:rPr>
                <w:i/>
              </w:rPr>
              <w:t>codebookSubset</w:t>
            </w:r>
            <w:r>
              <w:rPr>
                <w:rFonts w:hint="eastAsia"/>
              </w:rPr>
              <w:t xml:space="preserve"> = </w:t>
            </w:r>
            <w:r>
              <w:rPr>
                <w:i/>
              </w:rPr>
              <w:t>fullyAndPartialAndNonCoherent</w:t>
            </w:r>
          </w:p>
        </w:tc>
        <w:tc>
          <w:tcPr>
            <w:tcW w:w="2891" w:type="dxa"/>
          </w:tcPr>
          <w:p>
            <w:pPr>
              <w:spacing w:before="108" w:after="108"/>
              <w:jc w:val="center"/>
              <w:rPr>
                <w:szCs w:val="20"/>
              </w:rPr>
            </w:pPr>
            <w:r>
              <w:rPr>
                <w:i/>
              </w:rPr>
              <w:t>codebookSubset</w:t>
            </w:r>
            <w:r>
              <w:rPr>
                <w:rFonts w:hint="eastAsia"/>
              </w:rPr>
              <w:t xml:space="preserve"> = </w:t>
            </w:r>
            <w:r>
              <w:rPr>
                <w:i/>
              </w:rPr>
              <w:t>partialAndNonCoherent</w:t>
            </w:r>
          </w:p>
        </w:tc>
        <w:tc>
          <w:tcPr>
            <w:tcW w:w="2891" w:type="dxa"/>
          </w:tcPr>
          <w:p>
            <w:pPr>
              <w:spacing w:before="108" w:after="108"/>
              <w:jc w:val="center"/>
              <w:rPr>
                <w:szCs w:val="20"/>
              </w:rPr>
            </w:pPr>
            <w:r>
              <w:rPr>
                <w:i/>
              </w:rPr>
              <w:t>codebookSubset</w:t>
            </w:r>
            <w:r>
              <w:rPr>
                <w:rFonts w:hint="eastAsia"/>
              </w:rPr>
              <w:t xml:space="preserve">= </w:t>
            </w:r>
            <w:r>
              <w:rPr>
                <w:rFonts w:hint="eastAsia"/>
                <w:i/>
              </w:rPr>
              <w:t>n</w:t>
            </w:r>
            <w:r>
              <w:rPr>
                <w:i/>
              </w:rPr>
              <w:t>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spacing w:before="108" w:after="108"/>
              <w:jc w:val="left"/>
              <w:rPr>
                <w:szCs w:val="20"/>
              </w:rPr>
            </w:pPr>
            <w:r>
              <w:rPr>
                <w:rFonts w:hint="eastAsia"/>
                <w:szCs w:val="20"/>
              </w:rPr>
              <w:t>2-port PUSCH, maxLayer  of sTRP = 2, maxLayer  of SDM = 1</w:t>
            </w:r>
          </w:p>
        </w:tc>
        <w:tc>
          <w:tcPr>
            <w:tcW w:w="2891" w:type="dxa"/>
            <w:vAlign w:val="center"/>
          </w:tcPr>
          <w:p>
            <w:pPr>
              <w:spacing w:before="108" w:after="108"/>
              <w:jc w:val="center"/>
              <w:rPr>
                <w:szCs w:val="20"/>
              </w:rPr>
            </w:pPr>
            <w:r>
              <w:rPr>
                <w:rFonts w:hint="eastAsia"/>
                <w:szCs w:val="20"/>
              </w:rPr>
              <w:t>Alt 1: 4 bits + 3 bits = 7 bits</w:t>
            </w:r>
          </w:p>
          <w:p>
            <w:pPr>
              <w:spacing w:before="108" w:after="108"/>
              <w:jc w:val="center"/>
              <w:rPr>
                <w:szCs w:val="20"/>
              </w:rPr>
            </w:pPr>
            <w:r>
              <w:rPr>
                <w:rFonts w:hint="eastAsia"/>
                <w:szCs w:val="20"/>
              </w:rPr>
              <w:t>Alt 2: 3 bits + 3 bits = 6 bits</w:t>
            </w:r>
          </w:p>
          <w:p>
            <w:pPr>
              <w:spacing w:before="108" w:after="108"/>
              <w:jc w:val="center"/>
              <w:rPr>
                <w:szCs w:val="20"/>
              </w:rPr>
            </w:pPr>
            <w:r>
              <w:rPr>
                <w:rFonts w:hint="eastAsia"/>
                <w:szCs w:val="20"/>
              </w:rPr>
              <w:t>Alt 3: 3 bits + 3 bits = 6 bits</w:t>
            </w:r>
          </w:p>
          <w:p>
            <w:pPr>
              <w:spacing w:before="108" w:after="108"/>
              <w:jc w:val="center"/>
              <w:rPr>
                <w:szCs w:val="20"/>
              </w:rPr>
            </w:pPr>
            <w:r>
              <w:rPr>
                <w:rFonts w:hint="eastAsia"/>
                <w:szCs w:val="20"/>
              </w:rPr>
              <w:t>Alt 4: 4 bits + 4 bits = 8 bits</w:t>
            </w:r>
          </w:p>
        </w:tc>
        <w:tc>
          <w:tcPr>
            <w:tcW w:w="2891" w:type="dxa"/>
            <w:vAlign w:val="center"/>
          </w:tcPr>
          <w:p>
            <w:pPr>
              <w:spacing w:before="108" w:after="108"/>
              <w:jc w:val="center"/>
              <w:rPr>
                <w:szCs w:val="20"/>
              </w:rPr>
            </w:pPr>
            <w:r>
              <w:rPr>
                <w:rFonts w:hint="eastAsia"/>
                <w:szCs w:val="20"/>
              </w:rPr>
              <w:t>N/A</w:t>
            </w:r>
          </w:p>
        </w:tc>
        <w:tc>
          <w:tcPr>
            <w:tcW w:w="2891" w:type="dxa"/>
            <w:vAlign w:val="center"/>
          </w:tcPr>
          <w:p>
            <w:pPr>
              <w:spacing w:before="108" w:after="108"/>
              <w:jc w:val="center"/>
              <w:rPr>
                <w:szCs w:val="20"/>
              </w:rPr>
            </w:pPr>
            <w:r>
              <w:rPr>
                <w:rFonts w:hint="eastAsia"/>
                <w:szCs w:val="20"/>
              </w:rPr>
              <w:t>Alt 1: 2 bits + 1 bits = 3 bits</w:t>
            </w:r>
          </w:p>
          <w:p>
            <w:pPr>
              <w:spacing w:before="108" w:after="108"/>
              <w:jc w:val="center"/>
              <w:rPr>
                <w:szCs w:val="20"/>
              </w:rPr>
            </w:pPr>
            <w:r>
              <w:rPr>
                <w:rFonts w:hint="eastAsia"/>
                <w:szCs w:val="20"/>
              </w:rPr>
              <w:t>Alt 2: 1 bits + 1 bits = 2 bits</w:t>
            </w:r>
          </w:p>
          <w:p>
            <w:pPr>
              <w:spacing w:before="108" w:after="108"/>
              <w:jc w:val="center"/>
              <w:rPr>
                <w:szCs w:val="20"/>
              </w:rPr>
            </w:pPr>
            <w:r>
              <w:rPr>
                <w:rFonts w:hint="eastAsia"/>
                <w:szCs w:val="20"/>
              </w:rPr>
              <w:t>Alt 2: 1 bits + 1 bits = 2 bits</w:t>
            </w:r>
          </w:p>
          <w:p>
            <w:pPr>
              <w:spacing w:before="108" w:after="108"/>
              <w:jc w:val="center"/>
              <w:rPr>
                <w:szCs w:val="20"/>
              </w:rPr>
            </w:pPr>
            <w:r>
              <w:rPr>
                <w:rFonts w:hint="eastAsia"/>
                <w:szCs w:val="20"/>
              </w:rPr>
              <w:t>Alt 4: 2 bits + 2 bits = 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spacing w:before="108" w:after="108"/>
              <w:jc w:val="left"/>
              <w:rPr>
                <w:szCs w:val="20"/>
              </w:rPr>
            </w:pPr>
            <w:r>
              <w:rPr>
                <w:rFonts w:hint="eastAsia"/>
                <w:szCs w:val="20"/>
              </w:rPr>
              <w:t>4-port PUSCH, maxLayer  of sTRP = 4, maxLayer  of SDM = 1</w:t>
            </w:r>
          </w:p>
        </w:tc>
        <w:tc>
          <w:tcPr>
            <w:tcW w:w="2891" w:type="dxa"/>
            <w:vAlign w:val="center"/>
          </w:tcPr>
          <w:p>
            <w:pPr>
              <w:spacing w:before="108" w:after="108"/>
              <w:jc w:val="center"/>
              <w:rPr>
                <w:szCs w:val="20"/>
              </w:rPr>
            </w:pPr>
            <w:r>
              <w:rPr>
                <w:rFonts w:hint="eastAsia"/>
                <w:szCs w:val="20"/>
              </w:rPr>
              <w:t>Alt 1: 6 bits + 5 bits = 11 bits</w:t>
            </w:r>
          </w:p>
          <w:p>
            <w:pPr>
              <w:spacing w:before="108" w:after="108"/>
              <w:jc w:val="center"/>
              <w:rPr>
                <w:szCs w:val="20"/>
              </w:rPr>
            </w:pPr>
            <w:r>
              <w:rPr>
                <w:rFonts w:hint="eastAsia"/>
                <w:szCs w:val="20"/>
              </w:rPr>
              <w:t>Alt 2: 5 bits + 5 bits = 10 bits</w:t>
            </w:r>
          </w:p>
          <w:p>
            <w:pPr>
              <w:spacing w:before="108" w:after="108"/>
              <w:jc w:val="center"/>
              <w:rPr>
                <w:szCs w:val="20"/>
              </w:rPr>
            </w:pPr>
            <w:r>
              <w:rPr>
                <w:rFonts w:hint="eastAsia"/>
                <w:szCs w:val="20"/>
              </w:rPr>
              <w:t>Alt 3: 5 bits + 5 bits = 10 bits</w:t>
            </w:r>
          </w:p>
          <w:p>
            <w:pPr>
              <w:spacing w:before="108" w:after="108"/>
              <w:jc w:val="center"/>
              <w:rPr>
                <w:szCs w:val="20"/>
              </w:rPr>
            </w:pPr>
            <w:r>
              <w:rPr>
                <w:rFonts w:hint="eastAsia"/>
                <w:szCs w:val="20"/>
              </w:rPr>
              <w:t>Alt 4: 6 bits + 6 bits = 12 bits</w:t>
            </w:r>
          </w:p>
        </w:tc>
        <w:tc>
          <w:tcPr>
            <w:tcW w:w="2891" w:type="dxa"/>
            <w:vAlign w:val="center"/>
          </w:tcPr>
          <w:p>
            <w:pPr>
              <w:spacing w:before="108" w:after="108"/>
              <w:jc w:val="center"/>
              <w:rPr>
                <w:szCs w:val="20"/>
              </w:rPr>
            </w:pPr>
            <w:r>
              <w:rPr>
                <w:rFonts w:hint="eastAsia"/>
                <w:szCs w:val="20"/>
              </w:rPr>
              <w:t>Alt 1: 5 bits + 4 bits = 9 bits</w:t>
            </w:r>
          </w:p>
          <w:p>
            <w:pPr>
              <w:spacing w:before="108" w:after="108"/>
              <w:jc w:val="center"/>
              <w:rPr>
                <w:szCs w:val="20"/>
              </w:rPr>
            </w:pPr>
            <w:r>
              <w:rPr>
                <w:rFonts w:hint="eastAsia"/>
                <w:szCs w:val="20"/>
              </w:rPr>
              <w:t>Alt 2: 4 bits + 4 bits = 8 bits</w:t>
            </w:r>
          </w:p>
          <w:p>
            <w:pPr>
              <w:spacing w:before="108" w:after="108"/>
              <w:jc w:val="center"/>
              <w:rPr>
                <w:szCs w:val="20"/>
              </w:rPr>
            </w:pPr>
            <w:r>
              <w:rPr>
                <w:rFonts w:hint="eastAsia"/>
                <w:szCs w:val="20"/>
              </w:rPr>
              <w:t>Alt 3: 4 bits + 4 bits = 8 bits</w:t>
            </w:r>
          </w:p>
          <w:p>
            <w:pPr>
              <w:spacing w:before="108" w:after="108"/>
              <w:jc w:val="center"/>
              <w:rPr>
                <w:szCs w:val="20"/>
              </w:rPr>
            </w:pPr>
            <w:r>
              <w:rPr>
                <w:rFonts w:hint="eastAsia"/>
                <w:szCs w:val="20"/>
              </w:rPr>
              <w:t>Alt 4: 5 bits + 5 bits = 10 bits</w:t>
            </w:r>
          </w:p>
        </w:tc>
        <w:tc>
          <w:tcPr>
            <w:tcW w:w="2891" w:type="dxa"/>
            <w:vAlign w:val="center"/>
          </w:tcPr>
          <w:p>
            <w:pPr>
              <w:spacing w:before="108" w:after="108"/>
              <w:jc w:val="center"/>
              <w:rPr>
                <w:szCs w:val="20"/>
              </w:rPr>
            </w:pPr>
            <w:r>
              <w:rPr>
                <w:rFonts w:hint="eastAsia"/>
                <w:szCs w:val="20"/>
              </w:rPr>
              <w:t>Alt 1: 4 bits + 2 bits = 6 bits</w:t>
            </w:r>
          </w:p>
          <w:p>
            <w:pPr>
              <w:spacing w:before="108" w:after="108"/>
              <w:jc w:val="center"/>
              <w:rPr>
                <w:szCs w:val="20"/>
              </w:rPr>
            </w:pPr>
            <w:r>
              <w:rPr>
                <w:rFonts w:hint="eastAsia"/>
                <w:szCs w:val="20"/>
              </w:rPr>
              <w:t>Alt 2: 2 bits + 2 bits = 4 bits</w:t>
            </w:r>
          </w:p>
          <w:p>
            <w:pPr>
              <w:spacing w:before="108" w:after="108"/>
              <w:jc w:val="center"/>
              <w:rPr>
                <w:szCs w:val="20"/>
              </w:rPr>
            </w:pPr>
            <w:r>
              <w:rPr>
                <w:rFonts w:hint="eastAsia"/>
                <w:szCs w:val="20"/>
              </w:rPr>
              <w:t>Alt 3: 2 bits + 2 bits = 4 bits</w:t>
            </w:r>
          </w:p>
          <w:p>
            <w:pPr>
              <w:spacing w:before="108" w:after="108"/>
              <w:jc w:val="center"/>
              <w:rPr>
                <w:szCs w:val="20"/>
              </w:rPr>
            </w:pPr>
            <w:r>
              <w:rPr>
                <w:rFonts w:hint="eastAsia"/>
                <w:szCs w:val="20"/>
              </w:rPr>
              <w:t>Alt 4: 4 bits + 4 bits = 8 bits</w:t>
            </w:r>
          </w:p>
        </w:tc>
      </w:tr>
    </w:tbl>
    <w:p>
      <w:pPr>
        <w:spacing w:before="288" w:beforeLines="80" w:after="108"/>
        <w:rPr>
          <w:szCs w:val="20"/>
        </w:rPr>
      </w:pPr>
      <w:r>
        <w:rPr>
          <w:rFonts w:hint="eastAsia"/>
          <w:szCs w:val="20"/>
        </w:rPr>
        <w:t>According to the above result in the sum of SRI/TPMI field size overhead in each of Alts 1-4, it can be found that:</w:t>
      </w:r>
    </w:p>
    <w:p>
      <w:pPr>
        <w:numPr>
          <w:ilvl w:val="0"/>
          <w:numId w:val="13"/>
        </w:numPr>
        <w:spacing w:before="108" w:after="108"/>
        <w:rPr>
          <w:szCs w:val="20"/>
        </w:rPr>
      </w:pPr>
      <w:r>
        <w:rPr>
          <w:rFonts w:hint="eastAsia"/>
          <w:szCs w:val="20"/>
        </w:rPr>
        <w:t xml:space="preserve">If 2 antenna ports + </w:t>
      </w:r>
      <w:r>
        <w:rPr>
          <w:i/>
        </w:rPr>
        <w:t>codebookSubset</w:t>
      </w:r>
      <w:r>
        <w:rPr>
          <w:rFonts w:hint="eastAsia"/>
        </w:rPr>
        <w:t xml:space="preserve"> = </w:t>
      </w:r>
      <w:r>
        <w:rPr>
          <w:i/>
        </w:rPr>
        <w:t>fullyAndPartialAndNonCoherent</w:t>
      </w:r>
      <w:r>
        <w:rPr>
          <w:rFonts w:hint="eastAsia"/>
          <w:i/>
        </w:rPr>
        <w:t xml:space="preserve"> </w:t>
      </w:r>
      <w:r>
        <w:rPr>
          <w:rFonts w:hint="eastAsia"/>
          <w:iCs/>
        </w:rPr>
        <w:t xml:space="preserve">or </w:t>
      </w:r>
      <w:r>
        <w:rPr>
          <w:rFonts w:hint="eastAsia"/>
          <w:i/>
          <w:iCs/>
        </w:rPr>
        <w:t>n</w:t>
      </w:r>
      <w:r>
        <w:rPr>
          <w:i/>
          <w:iCs/>
        </w:rPr>
        <w:t>on</w:t>
      </w:r>
      <w:r>
        <w:rPr>
          <w:i/>
        </w:rPr>
        <w:t>Coherent</w:t>
      </w:r>
      <w:r>
        <w:rPr>
          <w:rFonts w:hint="eastAsia"/>
          <w:szCs w:val="20"/>
        </w:rPr>
        <w:t>, at most 1 bit can be saved when Alt 2/3 vs Alt 1, and at most 2 bits can be saved when Alt 2/3 vs Alt 4.</w:t>
      </w:r>
    </w:p>
    <w:p>
      <w:pPr>
        <w:numPr>
          <w:ilvl w:val="0"/>
          <w:numId w:val="13"/>
        </w:numPr>
        <w:spacing w:before="108" w:after="108"/>
        <w:rPr>
          <w:szCs w:val="20"/>
        </w:rPr>
      </w:pPr>
      <w:r>
        <w:rPr>
          <w:rFonts w:hint="eastAsia"/>
          <w:szCs w:val="20"/>
        </w:rPr>
        <w:t xml:space="preserve">If 4 antenna ports + </w:t>
      </w:r>
      <w:r>
        <w:rPr>
          <w:i/>
        </w:rPr>
        <w:t>codebookSubset</w:t>
      </w:r>
      <w:r>
        <w:rPr>
          <w:rFonts w:hint="eastAsia"/>
        </w:rPr>
        <w:t xml:space="preserve"> = </w:t>
      </w:r>
      <w:r>
        <w:rPr>
          <w:i/>
        </w:rPr>
        <w:t>fullyAndPartialAndNonCoherent</w:t>
      </w:r>
      <w:r>
        <w:rPr>
          <w:rFonts w:hint="eastAsia"/>
          <w:i/>
        </w:rPr>
        <w:t xml:space="preserve"> </w:t>
      </w:r>
      <w:r>
        <w:rPr>
          <w:rFonts w:hint="eastAsia"/>
          <w:iCs/>
        </w:rPr>
        <w:t xml:space="preserve">or </w:t>
      </w:r>
      <w:r>
        <w:rPr>
          <w:i/>
        </w:rPr>
        <w:t>partialAndNonCoherent</w:t>
      </w:r>
      <w:r>
        <w:rPr>
          <w:rFonts w:hint="eastAsia"/>
          <w:szCs w:val="20"/>
        </w:rPr>
        <w:t>, at most 1 bit can be saved when Alt 2/3 vs Alt 1, at most 2 bits can be saved when Alt 2/3 vs Alt 4.</w:t>
      </w:r>
    </w:p>
    <w:p>
      <w:pPr>
        <w:numPr>
          <w:ilvl w:val="0"/>
          <w:numId w:val="13"/>
        </w:numPr>
        <w:spacing w:before="108" w:after="108"/>
        <w:rPr>
          <w:szCs w:val="20"/>
        </w:rPr>
      </w:pPr>
      <w:r>
        <w:rPr>
          <w:rFonts w:hint="eastAsia"/>
          <w:szCs w:val="20"/>
        </w:rPr>
        <w:t xml:space="preserve">If 4 antenna ports + </w:t>
      </w:r>
      <w:r>
        <w:rPr>
          <w:i/>
        </w:rPr>
        <w:t>codebookSubset</w:t>
      </w:r>
      <w:r>
        <w:rPr>
          <w:rFonts w:hint="eastAsia"/>
        </w:rPr>
        <w:t xml:space="preserve"> = </w:t>
      </w:r>
      <w:r>
        <w:rPr>
          <w:rFonts w:hint="eastAsia"/>
          <w:i/>
          <w:iCs/>
        </w:rPr>
        <w:t>n</w:t>
      </w:r>
      <w:r>
        <w:rPr>
          <w:i/>
          <w:iCs/>
        </w:rPr>
        <w:t>on</w:t>
      </w:r>
      <w:r>
        <w:rPr>
          <w:i/>
        </w:rPr>
        <w:t>Coherent</w:t>
      </w:r>
      <w:r>
        <w:rPr>
          <w:rFonts w:hint="eastAsia"/>
          <w:szCs w:val="20"/>
        </w:rPr>
        <w:t>, at most 2 bits can be saved when Alt 2/3 vs Alt 1, at most 4 bits can be saved when Alt 2/3 vs Alt 4.</w:t>
      </w:r>
    </w:p>
    <w:p>
      <w:pPr>
        <w:spacing w:before="108" w:after="108"/>
        <w:rPr>
          <w:szCs w:val="20"/>
        </w:rPr>
      </w:pPr>
      <w:r>
        <w:rPr>
          <w:rFonts w:hint="eastAsia" w:eastAsia="宋体"/>
        </w:rPr>
        <w:t xml:space="preserve">Overall, the ascending order of the sum of SRI/TPMI field size for these Alts is: </w:t>
      </w:r>
      <w:r>
        <w:rPr>
          <w:rFonts w:hint="eastAsia"/>
          <w:szCs w:val="20"/>
        </w:rPr>
        <w:t xml:space="preserve">Alt 2 = Alt 3 ≤ Alt 1 ≤ Alt 4. Furthermore, it is worth noting that even though up to 4 bits can be saved when Alt 2/3 vs Alt 4 in just one case that 4 antenna ports + </w:t>
      </w:r>
      <w:r>
        <w:rPr>
          <w:i/>
        </w:rPr>
        <w:t>codebookSubset</w:t>
      </w:r>
      <w:r>
        <w:rPr>
          <w:rFonts w:hint="eastAsia"/>
        </w:rPr>
        <w:t xml:space="preserve"> = </w:t>
      </w:r>
      <w:r>
        <w:rPr>
          <w:rFonts w:hint="eastAsia"/>
          <w:i/>
          <w:iCs/>
        </w:rPr>
        <w:t>n</w:t>
      </w:r>
      <w:r>
        <w:rPr>
          <w:i/>
          <w:iCs/>
        </w:rPr>
        <w:t>on</w:t>
      </w:r>
      <w:r>
        <w:rPr>
          <w:i/>
        </w:rPr>
        <w:t>Coherent</w:t>
      </w:r>
      <w:r>
        <w:rPr>
          <w:rFonts w:hint="eastAsia"/>
          <w:szCs w:val="20"/>
        </w:rPr>
        <w:t>, it depends on the precondition that maxLayer of SDM is configured to 1 and maxLayer of sTRP is configured to 4. However, in case of maxLayer of SDM is configured to 2 and maxLayer of sTRP is configured to 4, there is 0 bit can be saved when Alt 2/3 vs Alt 4 (i.e., Alt 2/3: 4 bits + 4 bits = 8 bits, Alt 4: 4 bits + 4 bits = 8 bits). Likewise, 0 bit can be saved for Alt 2/3 vs Alt 1 (i.e., Alt 2/3: 4 bits + 4 bits = 8 bits, Alt 1: 4 bits + 4 bits = 8 bits) in such case.</w:t>
      </w:r>
    </w:p>
    <w:p>
      <w:pPr>
        <w:spacing w:before="108" w:after="108"/>
        <w:rPr>
          <w:i/>
          <w:iCs/>
          <w:szCs w:val="20"/>
        </w:rPr>
      </w:pPr>
      <w:r>
        <w:rPr>
          <w:rFonts w:hint="eastAsia" w:eastAsia="宋体"/>
          <w:b/>
          <w:bCs/>
          <w:i/>
          <w:iCs/>
        </w:rPr>
        <w:t>Observation 1:</w:t>
      </w:r>
      <w:r>
        <w:rPr>
          <w:rFonts w:hint="eastAsia" w:eastAsia="宋体"/>
          <w:i/>
          <w:iCs/>
        </w:rPr>
        <w:t xml:space="preserve"> From the perspective of DCI overhead in terms of the sum of SRI/TPMI field size, the ascending order of Alts 1-4 is: </w:t>
      </w:r>
      <w:r>
        <w:rPr>
          <w:rFonts w:hint="eastAsia"/>
          <w:i/>
          <w:iCs/>
          <w:szCs w:val="20"/>
        </w:rPr>
        <w:t xml:space="preserve">Alt 2 = Alt 3 ≤ Alt 1 ≤ Alt 4. Furthermore, just in limited cases, the sum of </w:t>
      </w:r>
      <w:r>
        <w:rPr>
          <w:rFonts w:hint="eastAsia" w:eastAsia="宋体"/>
          <w:i/>
          <w:iCs/>
        </w:rPr>
        <w:t xml:space="preserve">SRI/TPMI field size </w:t>
      </w:r>
      <w:r>
        <w:rPr>
          <w:rFonts w:hint="eastAsia"/>
          <w:i/>
          <w:iCs/>
          <w:szCs w:val="20"/>
        </w:rPr>
        <w:t>of Alts 1-3 can be smaller than that of Alt 4.</w:t>
      </w:r>
    </w:p>
    <w:p>
      <w:pPr>
        <w:spacing w:before="108" w:after="108"/>
        <w:rPr>
          <w:rFonts w:eastAsia="宋体"/>
          <w:b/>
          <w:bCs/>
          <w:u w:val="single"/>
        </w:rPr>
      </w:pPr>
      <w:r>
        <w:rPr>
          <w:rFonts w:hint="eastAsia" w:eastAsia="宋体"/>
          <w:b/>
          <w:bCs/>
          <w:u w:val="single"/>
        </w:rPr>
        <w:t>Aspect 2: Specification effort</w:t>
      </w:r>
    </w:p>
    <w:p>
      <w:pPr>
        <w:spacing w:before="108" w:after="108"/>
        <w:rPr>
          <w:rFonts w:eastAsia="宋体"/>
        </w:rPr>
      </w:pPr>
      <w:r>
        <w:rPr>
          <w:rFonts w:hint="eastAsia" w:eastAsia="宋体"/>
        </w:rPr>
        <w:t xml:space="preserve">Regarding the specification effort of Alts 1-4, the consistency and simplicity with the existing specification should be taken into consideration. More precisely, the consistency corresponds to the inheritance of SRS resource set indicator with regards to the association between SRI/TPMI field and SRS resource set, </w:t>
      </w:r>
      <w:r>
        <w:rPr>
          <w:rFonts w:eastAsia="宋体"/>
        </w:rPr>
        <w:t xml:space="preserve">and then </w:t>
      </w:r>
      <w:r>
        <w:rPr>
          <w:rFonts w:hint="eastAsia" w:eastAsia="宋体"/>
        </w:rPr>
        <w:t>the simplicity corresponds to avoid introducing further mechanism on SRI/TPMI field size alignment between SDM and sTRP.</w:t>
      </w:r>
    </w:p>
    <w:p>
      <w:pPr>
        <w:numPr>
          <w:ilvl w:val="0"/>
          <w:numId w:val="12"/>
        </w:numPr>
        <w:spacing w:before="108" w:after="108"/>
        <w:rPr>
          <w:rFonts w:eastAsia="宋体"/>
        </w:rPr>
      </w:pPr>
      <w:r>
        <w:rPr>
          <w:rFonts w:hint="eastAsia" w:eastAsia="宋体"/>
        </w:rPr>
        <w:t>On Alt 1, it is to reuse the Rel-17 design in principle for dynamic switching between SDM and sTRP in terms of the usage of SRS resource set indicator, where just 1</w:t>
      </w:r>
      <w:r>
        <w:rPr>
          <w:rFonts w:hint="eastAsia" w:eastAsia="宋体"/>
          <w:vertAlign w:val="superscript"/>
        </w:rPr>
        <w:t>st</w:t>
      </w:r>
      <w:r>
        <w:rPr>
          <w:rFonts w:hint="eastAsia" w:eastAsia="宋体"/>
        </w:rPr>
        <w:t xml:space="preserve"> SRI/TPMI is used when sTRP is indicated, 1</w:t>
      </w:r>
      <w:r>
        <w:rPr>
          <w:rFonts w:hint="eastAsia" w:eastAsia="宋体"/>
          <w:vertAlign w:val="superscript"/>
        </w:rPr>
        <w:t>st</w:t>
      </w:r>
      <w:r>
        <w:rPr>
          <w:rFonts w:hint="eastAsia" w:eastAsia="宋体"/>
        </w:rPr>
        <w:t xml:space="preserve"> and 2</w:t>
      </w:r>
      <w:r>
        <w:rPr>
          <w:rFonts w:hint="eastAsia" w:eastAsia="宋体"/>
          <w:vertAlign w:val="superscript"/>
        </w:rPr>
        <w:t>nd</w:t>
      </w:r>
      <w:r>
        <w:rPr>
          <w:rFonts w:hint="eastAsia" w:eastAsia="宋体"/>
        </w:rPr>
        <w:t xml:space="preserve"> SRI/TPMI are used when SDM is indicated. Notably, the differentiation between Alt 1 and Rel-17 design is that maxLayer of SDM and maxLayer of sTRP can be configured with different values as per the previous WA reached in RAN1#112 meeting [3].</w:t>
      </w:r>
    </w:p>
    <w:p>
      <w:pPr>
        <w:numPr>
          <w:ilvl w:val="0"/>
          <w:numId w:val="12"/>
        </w:numPr>
        <w:spacing w:before="108" w:after="108"/>
        <w:rPr>
          <w:rFonts w:eastAsia="宋体"/>
        </w:rPr>
      </w:pPr>
      <w:r>
        <w:rPr>
          <w:rFonts w:hint="eastAsia" w:eastAsia="宋体"/>
        </w:rPr>
        <w:t xml:space="preserve">On Alt 2, it is a brand-new design when compared with Rel-17 that just a single SRI/TPMI field is present in DCI when sTRP with codepoint </w:t>
      </w:r>
      <w:r>
        <w:rPr>
          <w:rFonts w:eastAsia="宋体"/>
        </w:rPr>
        <w:t>“</w:t>
      </w:r>
      <w:r>
        <w:rPr>
          <w:rFonts w:hint="eastAsia" w:eastAsia="宋体"/>
        </w:rPr>
        <w:t>00</w:t>
      </w:r>
      <w:r>
        <w:rPr>
          <w:rFonts w:eastAsia="宋体"/>
        </w:rPr>
        <w:t>”</w:t>
      </w:r>
      <w:r>
        <w:rPr>
          <w:rFonts w:hint="eastAsia" w:eastAsia="宋体"/>
        </w:rPr>
        <w:t xml:space="preserve"> or </w:t>
      </w:r>
      <w:r>
        <w:rPr>
          <w:rFonts w:eastAsia="宋体"/>
        </w:rPr>
        <w:t>“</w:t>
      </w:r>
      <w:r>
        <w:rPr>
          <w:rFonts w:hint="eastAsia" w:eastAsia="宋体"/>
        </w:rPr>
        <w:t>01</w:t>
      </w:r>
      <w:r>
        <w:rPr>
          <w:rFonts w:eastAsia="宋体"/>
        </w:rPr>
        <w:t>”</w:t>
      </w:r>
      <w:r>
        <w:rPr>
          <w:rFonts w:hint="eastAsia" w:eastAsia="宋体"/>
        </w:rPr>
        <w:t>, but two SRI/TPMI fields are always existing in DCI for SDM. In this way, SRI/TPMI fields need to be reinterpreted dynamically when SDM or sTRP is indicated, which leads to relatively complex specification change. On the other hand, the processing of zero padding to the end of DCI is additionally needed to align the DCI size of sTRP and SDM in some cases, which cause UE complexity of DCI decoding.</w:t>
      </w:r>
    </w:p>
    <w:p>
      <w:pPr>
        <w:numPr>
          <w:ilvl w:val="0"/>
          <w:numId w:val="12"/>
        </w:numPr>
        <w:spacing w:before="108" w:after="108"/>
        <w:rPr>
          <w:rFonts w:eastAsia="宋体"/>
        </w:rPr>
      </w:pPr>
      <w:r>
        <w:rPr>
          <w:rFonts w:hint="eastAsia" w:eastAsia="宋体"/>
        </w:rPr>
        <w:t>On Alt 3, it can be seen as a variant of Alt 2, the differentiation is the method of SRI/TPMI field (rather than DCI field) size alignment between SDM and sTRP. More precisely, zero padding is appended in each SRI/TPMI field, instead of the end of DCI.</w:t>
      </w:r>
    </w:p>
    <w:p>
      <w:pPr>
        <w:numPr>
          <w:ilvl w:val="0"/>
          <w:numId w:val="12"/>
        </w:numPr>
        <w:spacing w:before="108" w:after="108"/>
        <w:rPr>
          <w:rFonts w:eastAsia="宋体"/>
        </w:rPr>
      </w:pPr>
      <w:r>
        <w:rPr>
          <w:rFonts w:hint="eastAsia" w:eastAsia="宋体"/>
        </w:rPr>
        <w:t xml:space="preserve">On Alt 4, </w:t>
      </w:r>
      <w:r>
        <w:rPr>
          <w:rFonts w:hint="eastAsia" w:eastAsia="等线"/>
        </w:rPr>
        <w:t>it is the most simple and straightforward way to indicate SRI/TPMI for PUSCH when dynamic switching between SDM and sTRP. Besides, owing to 1</w:t>
      </w:r>
      <w:r>
        <w:rPr>
          <w:rFonts w:hint="eastAsia" w:eastAsia="等线"/>
          <w:vertAlign w:val="superscript"/>
        </w:rPr>
        <w:t>st</w:t>
      </w:r>
      <w:r>
        <w:rPr>
          <w:rFonts w:hint="eastAsia" w:eastAsia="等线"/>
        </w:rPr>
        <w:t xml:space="preserve"> and 2</w:t>
      </w:r>
      <w:r>
        <w:rPr>
          <w:rFonts w:hint="eastAsia" w:eastAsia="等线"/>
          <w:vertAlign w:val="superscript"/>
        </w:rPr>
        <w:t>nd</w:t>
      </w:r>
      <w:r>
        <w:rPr>
          <w:rFonts w:hint="eastAsia" w:eastAsia="等线"/>
        </w:rPr>
        <w:t xml:space="preserve"> SRI/TPMI fields are associated with and used for 1</w:t>
      </w:r>
      <w:r>
        <w:rPr>
          <w:rFonts w:hint="eastAsia" w:eastAsia="等线"/>
          <w:vertAlign w:val="superscript"/>
        </w:rPr>
        <w:t>st</w:t>
      </w:r>
      <w:r>
        <w:rPr>
          <w:rFonts w:hint="eastAsia" w:eastAsia="等线"/>
        </w:rPr>
        <w:t xml:space="preserve"> and 2</w:t>
      </w:r>
      <w:r>
        <w:rPr>
          <w:rFonts w:hint="eastAsia" w:eastAsia="等线"/>
          <w:vertAlign w:val="superscript"/>
        </w:rPr>
        <w:t>nd</w:t>
      </w:r>
      <w:r>
        <w:rPr>
          <w:rFonts w:hint="eastAsia" w:eastAsia="等线"/>
        </w:rPr>
        <w:t xml:space="preserve"> SRS resource sets respectively, it is beneficial to guarantee forward compatible for single DCI based STxMP PUSCH transmission, e.g., the extension of asymmetric panel flexibility of commercial MP-UE (CPE/ FWA/ vehicle/ industrial devices) afterwards.</w:t>
      </w:r>
    </w:p>
    <w:p>
      <w:pPr>
        <w:spacing w:before="108" w:after="108"/>
        <w:rPr>
          <w:rFonts w:eastAsia="宋体"/>
        </w:rPr>
      </w:pPr>
      <w:r>
        <w:rPr>
          <w:rFonts w:hint="eastAsia" w:eastAsia="宋体"/>
        </w:rPr>
        <w:t xml:space="preserve">Based on the above elaboration, Alt 4 is the best from the perspective of both consistency and simplicity with the existing specification. Alt 1 is smooth enough to follow the principle of Rel-17 design, but not the </w:t>
      </w:r>
      <w:r>
        <w:rPr>
          <w:rFonts w:hint="eastAsia" w:eastAsia="等线"/>
        </w:rPr>
        <w:t xml:space="preserve">forward compatible in terms of further asymmetric panel extension. Neither Alt 2 nor Alt 3 is good enough for the </w:t>
      </w:r>
      <w:r>
        <w:rPr>
          <w:rFonts w:hint="eastAsia" w:eastAsia="宋体"/>
        </w:rPr>
        <w:t>consistency and simplicity with the existing specification, especially in the additional and also complicated specification change on SRI/TPMI field size alignment between SDM and sTRP.</w:t>
      </w:r>
    </w:p>
    <w:p>
      <w:pPr>
        <w:spacing w:before="108" w:after="108"/>
        <w:rPr>
          <w:rFonts w:eastAsia="宋体"/>
          <w:i/>
          <w:iCs/>
        </w:rPr>
      </w:pPr>
      <w:r>
        <w:rPr>
          <w:rFonts w:hint="eastAsia" w:eastAsia="宋体"/>
          <w:b/>
          <w:bCs/>
          <w:i/>
          <w:iCs/>
        </w:rPr>
        <w:t>Observation 2:</w:t>
      </w:r>
      <w:r>
        <w:rPr>
          <w:rFonts w:hint="eastAsia" w:eastAsia="宋体"/>
          <w:i/>
          <w:iCs/>
        </w:rPr>
        <w:t xml:space="preserve"> From the perspective of specification effort in terms of the consistency and simplicity with the existing specification, the ascending order of Alts 1-4 is: </w:t>
      </w:r>
      <w:r>
        <w:rPr>
          <w:rFonts w:hint="eastAsia"/>
          <w:i/>
          <w:iCs/>
          <w:szCs w:val="20"/>
        </w:rPr>
        <w:t>Alt 4 ≤ Alt 1 ≤ Alt 2 = Alt 3.</w:t>
      </w:r>
    </w:p>
    <w:p>
      <w:pPr>
        <w:spacing w:before="108" w:after="108"/>
        <w:rPr>
          <w:rFonts w:eastAsia="宋体"/>
        </w:rPr>
      </w:pPr>
      <w:r>
        <w:rPr>
          <w:rFonts w:hint="eastAsia" w:eastAsia="宋体"/>
        </w:rPr>
        <w:t xml:space="preserve">In the light of the aforementioned two aspects for Alts 1-4, it is better to adopt either Alt 4 or Alt 1 for dynamic switching between SDM/SFN and sTRP when it comes to the acceptable trade-off between DCI overhead consumption and specification effort. Besides, codepoint </w:t>
      </w:r>
      <w:r>
        <w:rPr>
          <w:rFonts w:eastAsia="宋体"/>
        </w:rPr>
        <w:t>“</w:t>
      </w:r>
      <w:r>
        <w:rPr>
          <w:rFonts w:hint="eastAsia" w:eastAsia="宋体"/>
        </w:rPr>
        <w:t>11</w:t>
      </w:r>
      <w:r>
        <w:rPr>
          <w:rFonts w:eastAsia="宋体"/>
        </w:rPr>
        <w:t>”</w:t>
      </w:r>
      <w:r>
        <w:rPr>
          <w:rFonts w:hint="eastAsia" w:eastAsia="宋体"/>
        </w:rPr>
        <w:t xml:space="preserve"> is reserved unless its usage can be clarified.</w:t>
      </w:r>
    </w:p>
    <w:p>
      <w:pPr>
        <w:spacing w:before="108" w:after="108"/>
        <w:rPr>
          <w:b/>
          <w:bCs/>
          <w:i/>
          <w:iCs/>
        </w:rPr>
      </w:pPr>
      <w:r>
        <w:rPr>
          <w:rFonts w:eastAsia="宋体"/>
          <w:b/>
          <w:bCs/>
          <w:i/>
          <w:iCs/>
        </w:rPr>
        <w:t xml:space="preserve">Proposal 1: </w:t>
      </w:r>
      <w:r>
        <w:rPr>
          <w:rFonts w:eastAsia="宋体"/>
          <w:i/>
          <w:iCs/>
        </w:rPr>
        <w:t>Support that t</w:t>
      </w:r>
      <w:r>
        <w:rPr>
          <w:i/>
          <w:iCs/>
          <w:szCs w:val="20"/>
          <w:lang w:val="en-CA"/>
        </w:rPr>
        <w:t>he codepoints of “SRS resource set indicator” in DCI for dynamic switching between STxMP SDM</w:t>
      </w:r>
      <w:r>
        <w:rPr>
          <w:rFonts w:hint="eastAsia"/>
          <w:i/>
          <w:iCs/>
          <w:szCs w:val="20"/>
        </w:rPr>
        <w:t xml:space="preserve"> </w:t>
      </w:r>
      <w:r>
        <w:rPr>
          <w:i/>
          <w:iCs/>
          <w:szCs w:val="20"/>
          <w:lang w:val="en-CA"/>
        </w:rPr>
        <w:t>and sTRP transmission are interpreted and the SRI/TPMI fields are designed as follows:</w:t>
      </w:r>
    </w:p>
    <w:p>
      <w:pPr>
        <w:pStyle w:val="51"/>
        <w:numPr>
          <w:ilvl w:val="0"/>
          <w:numId w:val="10"/>
        </w:numPr>
        <w:spacing w:before="108" w:after="108"/>
        <w:ind w:leftChars="0"/>
        <w:rPr>
          <w:rFonts w:ascii="Times New Roman" w:hAnsi="Times New Roman"/>
          <w:i/>
          <w:iCs/>
          <w:szCs w:val="20"/>
          <w:lang w:val="en-CA"/>
        </w:rPr>
      </w:pPr>
      <w:r>
        <w:rPr>
          <w:rFonts w:ascii="Times New Roman" w:hAnsi="Times New Roman"/>
          <w:i/>
          <w:iCs/>
          <w:szCs w:val="20"/>
          <w:lang w:val="en-CA"/>
        </w:rPr>
        <w:t xml:space="preserve">The codepoints 00 and 01 indicate sTRP transmission. 00 </w:t>
      </w:r>
      <w:r>
        <w:rPr>
          <w:rFonts w:ascii="Times New Roman" w:hAnsi="Times New Roman"/>
          <w:i/>
          <w:iCs/>
          <w:szCs w:val="20"/>
        </w:rPr>
        <w:t>indicates</w:t>
      </w:r>
      <w:r>
        <w:rPr>
          <w:rFonts w:ascii="Times New Roman" w:hAnsi="Times New Roman"/>
          <w:i/>
          <w:iCs/>
          <w:szCs w:val="20"/>
          <w:lang w:val="en-CA"/>
        </w:rPr>
        <w:t xml:space="preserve"> the first SRS resource set and 01 indicates the second SRS resource set. For SRI/TPMI field design, </w:t>
      </w:r>
      <w:r>
        <w:rPr>
          <w:rFonts w:ascii="Times New Roman" w:hAnsi="Times New Roman"/>
          <w:i/>
          <w:iCs/>
          <w:szCs w:val="20"/>
          <w:lang w:val="en-US"/>
        </w:rPr>
        <w:t>support that</w:t>
      </w:r>
      <w:r>
        <w:rPr>
          <w:rFonts w:ascii="Times New Roman" w:hAnsi="Times New Roman"/>
          <w:i/>
          <w:iCs/>
          <w:szCs w:val="20"/>
          <w:lang w:val="en-CA"/>
        </w:rPr>
        <w:t>:</w:t>
      </w:r>
    </w:p>
    <w:p>
      <w:pPr>
        <w:pStyle w:val="51"/>
        <w:numPr>
          <w:ilvl w:val="1"/>
          <w:numId w:val="10"/>
        </w:numPr>
        <w:spacing w:before="108" w:after="108"/>
        <w:ind w:leftChars="0"/>
        <w:rPr>
          <w:rFonts w:ascii="Times New Roman" w:hAnsi="Times New Roman"/>
          <w:i/>
          <w:iCs/>
          <w:szCs w:val="20"/>
        </w:rPr>
      </w:pPr>
      <w:r>
        <w:rPr>
          <w:rFonts w:ascii="Times New Roman" w:hAnsi="Times New Roman"/>
          <w:i/>
          <w:iCs/>
          <w:szCs w:val="20"/>
        </w:rPr>
        <w:t>Alt4</w:t>
      </w:r>
      <w:r>
        <w:rPr>
          <w:rFonts w:ascii="Times New Roman" w:hAnsi="Times New Roman"/>
          <w:i/>
          <w:iCs/>
          <w:szCs w:val="20"/>
          <w:lang w:val="en-US"/>
        </w:rPr>
        <w:t xml:space="preserve"> (first priority)</w:t>
      </w:r>
      <w:r>
        <w:rPr>
          <w:rFonts w:ascii="Times New Roman" w:hAnsi="Times New Roman"/>
          <w:i/>
          <w:iCs/>
          <w:szCs w:val="20"/>
        </w:rPr>
        <w:t>: the DCI has two SRI fields and two TPMI fields.</w:t>
      </w:r>
    </w:p>
    <w:p>
      <w:pPr>
        <w:pStyle w:val="51"/>
        <w:numPr>
          <w:ilvl w:val="2"/>
          <w:numId w:val="10"/>
        </w:numPr>
        <w:spacing w:before="108" w:after="108"/>
        <w:ind w:leftChars="0"/>
        <w:rPr>
          <w:rFonts w:ascii="Times New Roman" w:hAnsi="Times New Roman"/>
          <w:i/>
          <w:iCs/>
          <w:szCs w:val="20"/>
        </w:rPr>
      </w:pPr>
      <w:r>
        <w:rPr>
          <w:rFonts w:ascii="Times New Roman" w:hAnsi="Times New Roman"/>
          <w:i/>
          <w:iCs/>
          <w:szCs w:val="20"/>
        </w:rPr>
        <w:t xml:space="preserve">When the codepoint is 00, the first SRI field and first TPMI field are associated with the first SRS resource set. The second SRI field and second TPMI field are reserved. </w:t>
      </w:r>
    </w:p>
    <w:p>
      <w:pPr>
        <w:pStyle w:val="51"/>
        <w:numPr>
          <w:ilvl w:val="2"/>
          <w:numId w:val="10"/>
        </w:numPr>
        <w:spacing w:before="108" w:after="108"/>
        <w:ind w:leftChars="0"/>
        <w:rPr>
          <w:rFonts w:ascii="Times New Roman" w:hAnsi="Times New Roman"/>
          <w:i/>
          <w:iCs/>
          <w:szCs w:val="20"/>
        </w:rPr>
      </w:pPr>
      <w:r>
        <w:rPr>
          <w:rFonts w:ascii="Times New Roman" w:hAnsi="Times New Roman"/>
          <w:i/>
          <w:iCs/>
          <w:szCs w:val="20"/>
        </w:rPr>
        <w:t>When the codepoint is 01, the second SRI field and second TPMI field are associated with the second SRS resource set. The first SRI field and first TPMI field are reserved.</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Alt1</w:t>
      </w:r>
      <w:r>
        <w:rPr>
          <w:rFonts w:ascii="Times New Roman" w:hAnsi="Times New Roman"/>
          <w:i/>
          <w:iCs/>
          <w:szCs w:val="20"/>
          <w:lang w:val="en-US"/>
        </w:rPr>
        <w:t xml:space="preserve"> (second priority)</w:t>
      </w:r>
      <w:r>
        <w:rPr>
          <w:rFonts w:ascii="Times New Roman" w:hAnsi="Times New Roman"/>
          <w:i/>
          <w:iCs/>
          <w:szCs w:val="20"/>
          <w:lang w:val="en-CA"/>
        </w:rPr>
        <w:t>: The DCI has two SRI fields and two TPMI fields. The first SRI field and first TPMI field are associated the first SRS resource set if codepoint = 00 or the second SRS resource set if codepoint = 01. The second SRI field and second TPMI fields are reserved.</w:t>
      </w:r>
    </w:p>
    <w:p>
      <w:pPr>
        <w:pStyle w:val="51"/>
        <w:numPr>
          <w:ilvl w:val="0"/>
          <w:numId w:val="10"/>
        </w:numPr>
        <w:spacing w:before="108" w:after="108"/>
        <w:ind w:leftChars="0"/>
        <w:rPr>
          <w:rFonts w:ascii="Times New Roman" w:hAnsi="Times New Roman"/>
          <w:i/>
          <w:iCs/>
          <w:szCs w:val="20"/>
          <w:lang w:val="en-CA"/>
        </w:rPr>
      </w:pPr>
      <w:r>
        <w:rPr>
          <w:rFonts w:ascii="Times New Roman" w:hAnsi="Times New Roman"/>
          <w:i/>
          <w:iCs/>
          <w:szCs w:val="20"/>
          <w:lang w:val="en-CA"/>
        </w:rPr>
        <w:t>The codepoints 10 indicate SDM transmission with the first and second SRS resource set.</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 xml:space="preserve">The first SRI field and first TPMI </w:t>
      </w:r>
      <w:bookmarkStart w:id="4" w:name="_GoBack"/>
      <w:bookmarkEnd w:id="4"/>
      <w:r>
        <w:rPr>
          <w:rFonts w:ascii="Times New Roman" w:hAnsi="Times New Roman"/>
          <w:i/>
          <w:iCs/>
          <w:szCs w:val="20"/>
          <w:lang w:val="en-CA"/>
        </w:rPr>
        <w:t>field are associated with the first SRS resource set and they indicate the precoder(s)/rank/SRI for the first SRS resource set.</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 xml:space="preserve">The second SRI field and second TPMI field are associated with the </w:t>
      </w:r>
      <w:r>
        <w:rPr>
          <w:rFonts w:hint="eastAsia" w:ascii="Times New Roman" w:hAnsi="Times New Roman" w:eastAsia="宋体"/>
          <w:i/>
          <w:iCs/>
          <w:szCs w:val="20"/>
          <w:lang w:val="en-US" w:eastAsia="zh-CN"/>
        </w:rPr>
        <w:t xml:space="preserve">second </w:t>
      </w:r>
      <w:r>
        <w:rPr>
          <w:rFonts w:ascii="Times New Roman" w:hAnsi="Times New Roman"/>
          <w:i/>
          <w:iCs/>
          <w:szCs w:val="20"/>
          <w:lang w:val="en-CA"/>
        </w:rPr>
        <w:t>SRS resource set and they indicate the precoder(s)/rank/SRI for the second SRS resource set.</w:t>
      </w:r>
    </w:p>
    <w:p>
      <w:pPr>
        <w:pStyle w:val="51"/>
        <w:numPr>
          <w:ilvl w:val="0"/>
          <w:numId w:val="10"/>
        </w:numPr>
        <w:spacing w:before="108" w:after="108"/>
        <w:ind w:leftChars="0"/>
        <w:rPr>
          <w:lang w:val="en-US"/>
        </w:rPr>
      </w:pPr>
      <w:r>
        <w:rPr>
          <w:rFonts w:ascii="Times New Roman" w:hAnsi="Times New Roman"/>
          <w:i/>
          <w:iCs/>
          <w:szCs w:val="20"/>
          <w:lang w:val="en-CA"/>
        </w:rPr>
        <w:t>The codepoint 11 is reserved.</w:t>
      </w:r>
    </w:p>
    <w:p>
      <w:pPr>
        <w:pStyle w:val="3"/>
        <w:spacing w:before="360" w:beforeLines="100" w:after="180"/>
        <w:ind w:left="431" w:hanging="431"/>
        <w:rPr>
          <w:lang w:val="en-US"/>
        </w:rPr>
      </w:pPr>
      <w:r>
        <w:rPr>
          <w:rFonts w:hint="eastAsia"/>
          <w:lang w:val="en-US"/>
        </w:rPr>
        <w:t>SRS configuration for single DCI based STxMP PUSCH</w:t>
      </w:r>
    </w:p>
    <w:p>
      <w:pPr>
        <w:spacing w:before="108" w:after="108"/>
        <w:rPr>
          <w:rFonts w:eastAsia="宋体"/>
        </w:rPr>
      </w:pPr>
      <w:r>
        <w:rPr>
          <w:rFonts w:eastAsia="宋体"/>
        </w:rPr>
        <w:t xml:space="preserve">Regarding </w:t>
      </w:r>
      <w:r>
        <w:rPr>
          <w:rFonts w:hint="eastAsia" w:eastAsia="宋体"/>
        </w:rPr>
        <w:t xml:space="preserve">SRS </w:t>
      </w:r>
      <w:r>
        <w:rPr>
          <w:rFonts w:eastAsia="宋体"/>
        </w:rPr>
        <w:t xml:space="preserve">configuration </w:t>
      </w:r>
      <w:r>
        <w:rPr>
          <w:rFonts w:hint="eastAsia" w:eastAsia="宋体"/>
        </w:rPr>
        <w:t>for single DCI based STxMP SDM PUSCH</w:t>
      </w:r>
      <w:r>
        <w:rPr>
          <w:rFonts w:eastAsia="宋体"/>
        </w:rPr>
        <w:t xml:space="preserve">, the following </w:t>
      </w:r>
      <w:r>
        <w:rPr>
          <w:rFonts w:hint="eastAsia" w:eastAsia="宋体"/>
        </w:rPr>
        <w:t xml:space="preserve">conclusion </w:t>
      </w:r>
      <w:r>
        <w:rPr>
          <w:rFonts w:eastAsia="宋体"/>
        </w:rPr>
        <w:t xml:space="preserve">was </w:t>
      </w:r>
      <w:r>
        <w:rPr>
          <w:rFonts w:hint="eastAsia" w:eastAsia="宋体"/>
        </w:rPr>
        <w:t>reached</w:t>
      </w:r>
      <w:r>
        <w:rPr>
          <w:rFonts w:eastAsia="宋体"/>
        </w:rPr>
        <w:t xml:space="preserve"> in RAN1#11</w:t>
      </w:r>
      <w:r>
        <w:rPr>
          <w:rFonts w:hint="eastAsia" w:eastAsia="宋体"/>
        </w:rPr>
        <w:t>2</w:t>
      </w:r>
      <w:r>
        <w:rPr>
          <w:rFonts w:eastAsia="宋体"/>
        </w:rPr>
        <w:t>b</w:t>
      </w:r>
      <w:r>
        <w:rPr>
          <w:rFonts w:hint="eastAsia" w:eastAsia="宋体"/>
        </w:rPr>
        <w:t>-</w:t>
      </w:r>
      <w:r>
        <w:rPr>
          <w:rFonts w:eastAsia="宋体"/>
        </w:rPr>
        <w:t>e meeting [</w:t>
      </w:r>
      <w:r>
        <w:rPr>
          <w:rFonts w:hint="eastAsia" w:eastAsia="宋体"/>
        </w:rPr>
        <w:t>2</w:t>
      </w:r>
      <w:r>
        <w:rPr>
          <w:rFonts w:eastAsia="宋体"/>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cs="Times"/>
                <w:b/>
                <w:bCs/>
                <w:szCs w:val="20"/>
                <w:lang w:eastAsia="ko-KR"/>
              </w:rPr>
            </w:pPr>
            <w:r>
              <w:rPr>
                <w:rFonts w:cs="Times"/>
                <w:b/>
                <w:bCs/>
                <w:szCs w:val="20"/>
                <w:lang w:eastAsia="ko-KR"/>
              </w:rPr>
              <w:t>Conclusion</w:t>
            </w:r>
          </w:p>
          <w:p>
            <w:pPr>
              <w:pStyle w:val="51"/>
              <w:numPr>
                <w:ilvl w:val="0"/>
                <w:numId w:val="14"/>
              </w:numPr>
              <w:spacing w:before="108" w:after="108"/>
              <w:ind w:leftChars="0"/>
              <w:rPr>
                <w:rFonts w:cs="Times"/>
                <w:b/>
                <w:szCs w:val="20"/>
              </w:rPr>
            </w:pPr>
            <w:r>
              <w:rPr>
                <w:rStyle w:val="30"/>
                <w:rFonts w:cs="Times"/>
                <w:b w:val="0"/>
                <w:szCs w:val="20"/>
              </w:rPr>
              <w:t>RAN1 has no consensus to support the following in Rel-18:</w:t>
            </w:r>
          </w:p>
          <w:p>
            <w:pPr>
              <w:numPr>
                <w:ilvl w:val="0"/>
                <w:numId w:val="15"/>
              </w:numPr>
              <w:spacing w:before="108" w:after="108"/>
              <w:rPr>
                <w:rFonts w:cs="Times"/>
                <w:b/>
                <w:szCs w:val="20"/>
              </w:rPr>
            </w:pPr>
            <w:r>
              <w:rPr>
                <w:rStyle w:val="30"/>
                <w:rFonts w:cs="Times"/>
                <w:b w:val="0"/>
                <w:szCs w:val="20"/>
              </w:rPr>
              <w:t>Configure different number of SRS resources in the two SRS resource sets for CB (if fullpowermode 2 is not configured)</w:t>
            </w:r>
            <w:r>
              <w:rPr>
                <w:rStyle w:val="99"/>
                <w:rFonts w:cs="Times"/>
                <w:b/>
                <w:bCs/>
                <w:szCs w:val="20"/>
              </w:rPr>
              <w:t> </w:t>
            </w:r>
            <w:r>
              <w:rPr>
                <w:rStyle w:val="30"/>
                <w:rFonts w:cs="Times"/>
                <w:b w:val="0"/>
                <w:szCs w:val="20"/>
              </w:rPr>
              <w:t>or NCB for single-DCI based STxMP transmission.</w:t>
            </w:r>
          </w:p>
          <w:p>
            <w:pPr>
              <w:numPr>
                <w:ilvl w:val="0"/>
                <w:numId w:val="15"/>
              </w:numPr>
              <w:spacing w:before="108" w:after="108"/>
              <w:rPr>
                <w:rFonts w:cs="Times"/>
                <w:b/>
                <w:szCs w:val="20"/>
              </w:rPr>
            </w:pPr>
            <w:r>
              <w:rPr>
                <w:rStyle w:val="30"/>
                <w:rFonts w:cs="Times"/>
                <w:b w:val="0"/>
                <w:szCs w:val="20"/>
              </w:rPr>
              <w:t>For CB PUSCH, the two SRS resources indicated by two SRI fields for single-DCI based STxMP transmission can have different number of SRS ports.</w:t>
            </w:r>
            <w:r>
              <w:rPr>
                <w:rFonts w:cs="Times"/>
                <w:b/>
                <w:szCs w:val="20"/>
              </w:rPr>
              <w:t> </w:t>
            </w:r>
          </w:p>
          <w:p>
            <w:pPr>
              <w:pStyle w:val="51"/>
              <w:numPr>
                <w:ilvl w:val="0"/>
                <w:numId w:val="14"/>
              </w:numPr>
              <w:spacing w:before="108" w:after="108"/>
              <w:ind w:leftChars="0"/>
              <w:rPr>
                <w:rStyle w:val="30"/>
                <w:rFonts w:cs="Times"/>
                <w:b w:val="0"/>
                <w:szCs w:val="20"/>
              </w:rPr>
            </w:pPr>
            <w:r>
              <w:rPr>
                <w:rStyle w:val="30"/>
                <w:rFonts w:cs="Times"/>
                <w:b w:val="0"/>
                <w:szCs w:val="20"/>
              </w:rPr>
              <w:t>For the two SRS resource sets configured for multi-DCI based STxMP PUSCH+PUSCH in Rel-18, </w:t>
            </w:r>
          </w:p>
          <w:p>
            <w:pPr>
              <w:numPr>
                <w:ilvl w:val="0"/>
                <w:numId w:val="16"/>
              </w:numPr>
              <w:spacing w:before="108" w:after="108"/>
              <w:rPr>
                <w:rFonts w:cs="Times"/>
                <w:b/>
                <w:szCs w:val="20"/>
              </w:rPr>
            </w:pPr>
            <w:r>
              <w:rPr>
                <w:rStyle w:val="30"/>
                <w:rFonts w:cs="Times"/>
                <w:b w:val="0"/>
                <w:szCs w:val="20"/>
              </w:rPr>
              <w:t>Legacy Rel-17 specification is reused with respect to the maximal number of SRS resources/ports in each set</w:t>
            </w:r>
          </w:p>
          <w:p>
            <w:pPr>
              <w:spacing w:before="108" w:after="108"/>
              <w:rPr>
                <w:bCs/>
              </w:rPr>
            </w:pPr>
            <w:r>
              <w:rPr>
                <w:rStyle w:val="30"/>
                <w:rFonts w:cs="Times"/>
                <w:b w:val="0"/>
                <w:szCs w:val="20"/>
              </w:rPr>
              <w:t>FFS: whether/how to support two different configurations with regards to full power mode and antenna port coherency</w:t>
            </w:r>
            <w:r>
              <w:rPr>
                <w:rStyle w:val="99"/>
                <w:rFonts w:cs="Times"/>
                <w:b/>
                <w:bCs/>
                <w:szCs w:val="20"/>
              </w:rPr>
              <w:t> </w:t>
            </w:r>
            <w:r>
              <w:rPr>
                <w:rStyle w:val="30"/>
                <w:rFonts w:cs="Times"/>
                <w:b w:val="0"/>
                <w:szCs w:val="20"/>
              </w:rPr>
              <w:t>type</w:t>
            </w:r>
            <w:r>
              <w:rPr>
                <w:rStyle w:val="99"/>
                <w:rFonts w:cs="Times"/>
                <w:b/>
                <w:bCs/>
                <w:szCs w:val="20"/>
              </w:rPr>
              <w:t> </w:t>
            </w:r>
            <w:r>
              <w:rPr>
                <w:rStyle w:val="30"/>
                <w:rFonts w:cs="Times"/>
                <w:b w:val="0"/>
                <w:szCs w:val="20"/>
              </w:rPr>
              <w:t>among SRS resource sets.</w:t>
            </w:r>
          </w:p>
        </w:tc>
      </w:tr>
    </w:tbl>
    <w:p>
      <w:pPr>
        <w:spacing w:before="288" w:beforeLines="80" w:after="108"/>
        <w:rPr>
          <w:rFonts w:eastAsia="宋体"/>
        </w:rPr>
      </w:pPr>
      <w:r>
        <w:rPr>
          <w:rFonts w:hint="eastAsia" w:eastAsia="宋体"/>
        </w:rPr>
        <w:t>Overall, the leftover issue is whether to support different configuration of full power mode and antenna port coherency between two SRS resource sets.</w:t>
      </w:r>
    </w:p>
    <w:p>
      <w:pPr>
        <w:numPr>
          <w:ilvl w:val="0"/>
          <w:numId w:val="17"/>
        </w:numPr>
        <w:spacing w:before="288" w:beforeLines="80" w:after="108"/>
        <w:rPr>
          <w:rFonts w:eastAsia="宋体"/>
        </w:rPr>
      </w:pPr>
      <w:r>
        <w:rPr>
          <w:rFonts w:hint="eastAsia" w:eastAsia="宋体"/>
        </w:rPr>
        <w:t>For full power mode, it depends on per panel PA architecture of MP-UE implementation. In this sense, it is directly relevant to the assumption of UE power limitation for STxMP in FR2, and the corresponding assessment from RAN4</w:t>
      </w:r>
      <w:r>
        <w:rPr>
          <w:rFonts w:eastAsia="宋体"/>
        </w:rPr>
        <w:t xml:space="preserve"> </w:t>
      </w:r>
      <w:r>
        <w:rPr>
          <w:rFonts w:hint="eastAsia" w:eastAsia="宋体"/>
        </w:rPr>
        <w:t xml:space="preserve">should be taken into consideration(which can be found in </w:t>
      </w:r>
      <w:r>
        <w:fldChar w:fldCharType="begin"/>
      </w:r>
      <w:r>
        <w:instrText xml:space="preserve"> HYPERLINK "https://www.3gpp.org/ftp/tsg_ran/WG1_RL1/TSGR1_113/Docs/R1-2304315.zip" </w:instrText>
      </w:r>
      <w:r>
        <w:fldChar w:fldCharType="separate"/>
      </w:r>
      <w:r>
        <w:rPr>
          <w:rStyle w:val="32"/>
          <w:rFonts w:hint="eastAsia" w:eastAsia="宋体"/>
        </w:rPr>
        <w:t>R1-2304315(R4-2306657)</w:t>
      </w:r>
      <w:r>
        <w:rPr>
          <w:rStyle w:val="32"/>
          <w:rFonts w:hint="eastAsia" w:eastAsia="宋体"/>
        </w:rPr>
        <w:fldChar w:fldCharType="end"/>
      </w:r>
      <w:r>
        <w:rPr>
          <w:rFonts w:hint="eastAsia" w:eastAsia="宋体"/>
        </w:rPr>
        <w:t xml:space="preserve">. According to the highlighted yellow parts below, one MP-UE implementation in terms of Assumption 2 can be that a panel is capable to operate full power mode due to the sum of this panel power limitation can be greater than the existing power limitation for a given power class. Hence it is feasible to achieve full power mode on </w:t>
      </w:r>
      <w:r>
        <w:rPr>
          <w:rFonts w:hint="eastAsia" w:eastAsia="宋体"/>
          <w:lang w:val="en-US" w:eastAsia="zh-CN"/>
        </w:rPr>
        <w:t>this</w:t>
      </w:r>
      <w:r>
        <w:rPr>
          <w:rFonts w:hint="eastAsia" w:eastAsia="宋体"/>
        </w:rPr>
        <w:t xml:space="preserve"> panel, while the other panel does not. Given that full power mode is beneficial to enhance coverage and reliability of PUSCH transmission, per panel full power mode should be enable in Rel-18. One practical use case is to enable PUSCH transmission with full power in case of sTRP via the </w:t>
      </w:r>
      <w:r>
        <w:rPr>
          <w:rFonts w:eastAsia="宋体"/>
        </w:rPr>
        <w:t>“</w:t>
      </w:r>
      <w:r>
        <w:rPr>
          <w:rFonts w:hint="eastAsia" w:eastAsia="宋体"/>
        </w:rPr>
        <w:t>stronger</w:t>
      </w:r>
      <w:r>
        <w:rPr>
          <w:rFonts w:eastAsia="宋体"/>
        </w:rPr>
        <w:t>”</w:t>
      </w:r>
      <w:r>
        <w:rPr>
          <w:rFonts w:hint="eastAsia" w:eastAsia="宋体"/>
        </w:rPr>
        <w:t xml:space="preserve"> panel. Subsequently, it is needed to support different configuration of full power mode among two SRS resource sets.</w:t>
      </w:r>
    </w:p>
    <w:p>
      <w:pPr>
        <w:spacing w:before="108" w:after="0" w:afterLines="0"/>
        <w:ind w:firstLine="420"/>
        <w:rPr>
          <w:rFonts w:eastAsia="宋体"/>
          <w:b/>
          <w:bCs/>
        </w:rPr>
      </w:pPr>
      <w:r>
        <w:rPr>
          <w:rFonts w:hint="eastAsia" w:eastAsia="宋体"/>
          <w:b/>
          <w:bCs/>
        </w:rPr>
        <w:t>R1-2304315(R4-2306657)</w:t>
      </w:r>
    </w:p>
    <w:tbl>
      <w:tblPr>
        <w:tblStyle w:val="28"/>
        <w:tblW w:w="0" w:type="auto"/>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81" w:type="dxa"/>
          </w:tcPr>
          <w:p>
            <w:pPr>
              <w:spacing w:before="108" w:after="108"/>
              <w:jc w:val="center"/>
              <w:rPr>
                <w:rFonts w:ascii="Calibri" w:hAnsi="Calibri" w:eastAsia="Batang" w:cs="Calibri"/>
                <w:szCs w:val="20"/>
                <w:lang w:bidi="ar"/>
              </w:rPr>
            </w:pPr>
            <w:r>
              <w:rPr>
                <w:rFonts w:hint="eastAsia" w:ascii="Calibri" w:hAnsi="Calibri" w:eastAsia="Batang" w:cs="Calibri"/>
                <w:szCs w:val="20"/>
                <w:lang w:bidi="ar"/>
              </w:rPr>
              <w:t>&lt;unrelated part is omitting&gt;</w:t>
            </w:r>
          </w:p>
          <w:p>
            <w:pPr>
              <w:spacing w:before="108" w:after="108"/>
              <w:jc w:val="left"/>
              <w:rPr>
                <w:rFonts w:ascii="Calibri" w:hAnsi="Calibri" w:cs="Calibri"/>
                <w:szCs w:val="20"/>
              </w:rPr>
            </w:pPr>
            <w:r>
              <w:rPr>
                <w:rFonts w:ascii="Calibri" w:hAnsi="Calibri" w:eastAsia="Batang" w:cs="Calibri"/>
                <w:szCs w:val="20"/>
                <w:lang w:bidi="ar"/>
              </w:rPr>
              <w:t>RAN4 would like to confirm to RAN1 the conditions to be simultaneously met by a UE for STxMP:</w:t>
            </w:r>
          </w:p>
          <w:p>
            <w:pPr>
              <w:pStyle w:val="25"/>
              <w:numPr>
                <w:ilvl w:val="0"/>
                <w:numId w:val="18"/>
              </w:numPr>
              <w:spacing w:before="108" w:after="108"/>
              <w:contextualSpacing/>
              <w:rPr>
                <w:rFonts w:ascii="Calibri" w:hAnsi="Calibri" w:cs="Calibri"/>
                <w:sz w:val="20"/>
                <w:szCs w:val="20"/>
              </w:rPr>
            </w:pPr>
            <w:r>
              <w:rPr>
                <w:rFonts w:ascii="Calibri" w:hAnsi="Calibri" w:cs="Calibri"/>
                <w:sz w:val="20"/>
                <w:szCs w:val="20"/>
                <w:highlight w:val="yellow"/>
              </w:rPr>
              <w:t>The total EIRP over all panels cannot exceed the existing EIRP limitation.</w:t>
            </w:r>
            <w:r>
              <w:rPr>
                <w:rFonts w:ascii="Calibri" w:hAnsi="Calibri" w:cs="Calibri"/>
                <w:sz w:val="20"/>
                <w:szCs w:val="20"/>
              </w:rPr>
              <w:t xml:space="preserve"> </w:t>
            </w:r>
          </w:p>
          <w:p>
            <w:pPr>
              <w:pStyle w:val="25"/>
              <w:numPr>
                <w:ilvl w:val="0"/>
                <w:numId w:val="18"/>
              </w:numPr>
              <w:spacing w:before="108" w:after="108"/>
              <w:contextualSpacing/>
              <w:rPr>
                <w:rFonts w:ascii="Calibri" w:hAnsi="Calibri" w:cs="Calibri"/>
                <w:sz w:val="20"/>
                <w:szCs w:val="20"/>
              </w:rPr>
            </w:pPr>
            <w:r>
              <w:rPr>
                <w:rFonts w:ascii="Calibri" w:hAnsi="Calibri" w:cs="Calibri"/>
                <w:sz w:val="20"/>
                <w:szCs w:val="20"/>
              </w:rPr>
              <w:t>The total TRP over all panels cannot exceed the existing TRP limitation.</w:t>
            </w:r>
          </w:p>
          <w:p>
            <w:pPr>
              <w:pStyle w:val="25"/>
              <w:numPr>
                <w:ilvl w:val="0"/>
                <w:numId w:val="18"/>
              </w:numPr>
              <w:spacing w:before="108" w:after="108"/>
              <w:contextualSpacing/>
              <w:rPr>
                <w:rFonts w:ascii="Calibri" w:hAnsi="Calibri" w:cs="Calibri"/>
                <w:sz w:val="20"/>
                <w:szCs w:val="20"/>
              </w:rPr>
            </w:pPr>
            <w:r>
              <w:rPr>
                <w:rFonts w:ascii="Calibri" w:hAnsi="Calibri" w:cs="Calibri"/>
                <w:sz w:val="20"/>
                <w:szCs w:val="20"/>
                <w:highlight w:val="yellow"/>
              </w:rPr>
              <w:t>The sum of per-panel EIRP power limitation for STxMP can be greater than the existing EIRP limitation.</w:t>
            </w:r>
            <w:r>
              <w:rPr>
                <w:rFonts w:ascii="Calibri" w:hAnsi="Calibri" w:cs="Calibri"/>
                <w:sz w:val="20"/>
                <w:szCs w:val="20"/>
              </w:rPr>
              <w:t xml:space="preserve"> </w:t>
            </w:r>
          </w:p>
          <w:p>
            <w:pPr>
              <w:pStyle w:val="25"/>
              <w:numPr>
                <w:ilvl w:val="1"/>
                <w:numId w:val="18"/>
              </w:numPr>
              <w:spacing w:before="108" w:after="108"/>
              <w:contextualSpacing/>
              <w:rPr>
                <w:rFonts w:ascii="Calibri" w:hAnsi="Calibri" w:cs="Calibri"/>
                <w:sz w:val="20"/>
                <w:szCs w:val="20"/>
              </w:rPr>
            </w:pPr>
            <w:r>
              <w:rPr>
                <w:rFonts w:ascii="Calibri" w:hAnsi="Calibri" w:cs="Calibri"/>
                <w:sz w:val="20"/>
                <w:szCs w:val="20"/>
              </w:rPr>
              <w:t xml:space="preserve">See condition #1, which must always be obeyed. </w:t>
            </w:r>
          </w:p>
          <w:p>
            <w:pPr>
              <w:pStyle w:val="25"/>
              <w:numPr>
                <w:ilvl w:val="1"/>
                <w:numId w:val="18"/>
              </w:numPr>
              <w:spacing w:before="108" w:after="108"/>
              <w:contextualSpacing/>
              <w:rPr>
                <w:rFonts w:ascii="Calibri" w:hAnsi="Calibri" w:cs="Calibri"/>
                <w:sz w:val="20"/>
                <w:szCs w:val="20"/>
              </w:rPr>
            </w:pPr>
            <w:r>
              <w:rPr>
                <w:rFonts w:ascii="Calibri" w:hAnsi="Calibri" w:cs="Calibri"/>
                <w:sz w:val="20"/>
                <w:szCs w:val="20"/>
              </w:rPr>
              <w:t>In cases where the beams for each panel have low enough spatial overlap, this clause allows EIRP for each panel to individually approach the existing EIRP limitation.</w:t>
            </w:r>
          </w:p>
          <w:p>
            <w:pPr>
              <w:pStyle w:val="25"/>
              <w:numPr>
                <w:ilvl w:val="1"/>
                <w:numId w:val="18"/>
              </w:numPr>
              <w:spacing w:before="108" w:after="108"/>
              <w:contextualSpacing/>
              <w:rPr>
                <w:rFonts w:ascii="Calibri" w:hAnsi="Calibri" w:cs="Calibri"/>
                <w:sz w:val="20"/>
                <w:szCs w:val="20"/>
              </w:rPr>
            </w:pPr>
            <w:r>
              <w:rPr>
                <w:rFonts w:ascii="Calibri" w:hAnsi="Calibri" w:cs="Calibri"/>
                <w:sz w:val="20"/>
                <w:szCs w:val="20"/>
              </w:rPr>
              <w:t>RAN4 has not completed spec. definition work for ‘per panel EIRP power limitation’.</w:t>
            </w:r>
          </w:p>
          <w:p>
            <w:pPr>
              <w:pStyle w:val="25"/>
              <w:numPr>
                <w:ilvl w:val="0"/>
                <w:numId w:val="18"/>
              </w:numPr>
              <w:spacing w:before="108" w:after="108"/>
              <w:contextualSpacing/>
              <w:rPr>
                <w:rFonts w:eastAsia="宋体"/>
                <w:sz w:val="20"/>
                <w:szCs w:val="20"/>
              </w:rPr>
            </w:pPr>
            <w:r>
              <w:rPr>
                <w:rFonts w:ascii="Calibri" w:hAnsi="Calibri" w:cs="Calibri"/>
                <w:sz w:val="20"/>
                <w:szCs w:val="20"/>
              </w:rPr>
              <w:t>No explicit ‘per-panel’ TRP limit is deemed necessary.</w:t>
            </w:r>
          </w:p>
          <w:p>
            <w:pPr>
              <w:spacing w:before="108" w:after="108"/>
              <w:jc w:val="center"/>
              <w:rPr>
                <w:rFonts w:eastAsia="宋体"/>
              </w:rPr>
            </w:pPr>
            <w:r>
              <w:rPr>
                <w:rFonts w:hint="eastAsia" w:ascii="Calibri" w:hAnsi="Calibri" w:eastAsia="Batang" w:cs="Calibri"/>
                <w:szCs w:val="20"/>
                <w:lang w:bidi="ar"/>
              </w:rPr>
              <w:t>&lt;unrelated part is omitting&gt;</w:t>
            </w:r>
          </w:p>
        </w:tc>
      </w:tr>
    </w:tbl>
    <w:p>
      <w:pPr>
        <w:numPr>
          <w:ilvl w:val="0"/>
          <w:numId w:val="19"/>
        </w:numPr>
        <w:spacing w:before="288" w:beforeLines="80" w:after="108"/>
        <w:rPr>
          <w:rFonts w:eastAsia="宋体"/>
        </w:rPr>
      </w:pPr>
      <w:r>
        <w:rPr>
          <w:rFonts w:hint="eastAsia" w:eastAsia="宋体"/>
        </w:rPr>
        <w:t xml:space="preserve">For antenna port coherency, in addition to the diversity of MP-UE implementation, it is worth noting that per panel full power mode is related to this ability herein. As specified in the current specification, full power Mode 1 cannot be configured if </w:t>
      </w:r>
      <w:r>
        <w:rPr>
          <w:i/>
          <w:iCs/>
          <w:color w:val="000000" w:themeColor="text1"/>
          <w14:textFill>
            <w14:solidFill>
              <w14:schemeClr w14:val="tx1"/>
            </w14:solidFill>
          </w14:textFill>
        </w:rPr>
        <w:t>codebookSubset</w:t>
      </w:r>
      <w:r>
        <w:rPr>
          <w:color w:val="000000" w:themeColor="text1"/>
          <w14:textFill>
            <w14:solidFill>
              <w14:schemeClr w14:val="tx1"/>
            </w14:solidFill>
          </w14:textFill>
        </w:rPr>
        <w:t xml:space="preserve"> or </w:t>
      </w:r>
      <w:r>
        <w:rPr>
          <w:i/>
          <w:color w:val="000000"/>
          <w:kern w:val="2"/>
        </w:rPr>
        <w:t>codebookSubsetDCI-0-2</w:t>
      </w:r>
      <w:r>
        <w:rPr>
          <w:i/>
          <w:iCs/>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is </w:t>
      </w:r>
      <w:r>
        <w:rPr>
          <w:color w:val="000000" w:themeColor="text1"/>
          <w14:textFill>
            <w14:solidFill>
              <w14:schemeClr w14:val="tx1"/>
            </w14:solidFill>
          </w14:textFill>
        </w:rPr>
        <w:t>set to</w:t>
      </w:r>
      <w:r>
        <w:rPr>
          <w:rStyle w:val="99"/>
          <w:i/>
          <w:iCs/>
          <w:color w:val="000000" w:themeColor="text1"/>
          <w14:textFill>
            <w14:solidFill>
              <w14:schemeClr w14:val="tx1"/>
            </w14:solidFill>
          </w14:textFill>
        </w:rPr>
        <w:t xml:space="preserve"> </w:t>
      </w:r>
      <w:r>
        <w:rPr>
          <w:i/>
          <w:iCs/>
          <w:color w:val="000000" w:themeColor="text1"/>
          <w14:textFill>
            <w14:solidFill>
              <w14:schemeClr w14:val="tx1"/>
            </w14:solidFill>
          </w14:textFill>
        </w:rPr>
        <w:t>'</w:t>
      </w:r>
      <w:r>
        <w:rPr>
          <w:color w:val="000000" w:themeColor="text1"/>
          <w14:textFill>
            <w14:solidFill>
              <w14:schemeClr w14:val="tx1"/>
            </w14:solidFill>
          </w14:textFill>
        </w:rPr>
        <w:t>fullAndPartialAndNonCoherent</w:t>
      </w:r>
      <w:r>
        <w:rPr>
          <w:i/>
          <w:iCs/>
          <w:color w:val="000000" w:themeColor="text1"/>
          <w14:textFill>
            <w14:solidFill>
              <w14:schemeClr w14:val="tx1"/>
            </w14:solidFill>
          </w14:textFill>
        </w:rPr>
        <w:t>'</w:t>
      </w:r>
      <w:r>
        <w:rPr>
          <w:rFonts w:hint="eastAsia" w:eastAsia="宋体"/>
        </w:rPr>
        <w:t>. When panel 1 is capable to operate full power Mode 1 but this panel is not enabled with any full power mode, full-coherent antenna ports cannot be implemented in this case. Therefore, different configuration of antenna port coherency among two SRS resource sets should be supported additionally.</w:t>
      </w:r>
    </w:p>
    <w:p>
      <w:pPr>
        <w:spacing w:before="108" w:after="0" w:afterLines="0"/>
        <w:ind w:firstLine="420"/>
        <w:rPr>
          <w:rFonts w:eastAsia="宋体"/>
          <w:b/>
          <w:bCs/>
        </w:rPr>
      </w:pPr>
      <w:r>
        <w:rPr>
          <w:rFonts w:hint="eastAsia" w:eastAsia="宋体"/>
          <w:b/>
          <w:bCs/>
        </w:rPr>
        <w:t>TS38.214, Section 6.1.1.1</w:t>
      </w:r>
    </w:p>
    <w:tbl>
      <w:tblPr>
        <w:tblStyle w:val="28"/>
        <w:tblW w:w="0" w:type="auto"/>
        <w:tblInd w:w="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1" w:type="dxa"/>
          </w:tcPr>
          <w:p>
            <w:pPr>
              <w:spacing w:before="108" w:after="108"/>
              <w:jc w:val="center"/>
              <w:rPr>
                <w:rFonts w:eastAsia="Batang"/>
                <w:szCs w:val="20"/>
                <w:lang w:bidi="ar"/>
              </w:rPr>
            </w:pPr>
            <w:r>
              <w:rPr>
                <w:rFonts w:eastAsia="Batang"/>
                <w:szCs w:val="20"/>
                <w:lang w:bidi="ar"/>
              </w:rPr>
              <w:t>&lt;unrelated part is omitting&gt;</w:t>
            </w:r>
          </w:p>
          <w:p>
            <w:pPr>
              <w:spacing w:before="108" w:after="108"/>
              <w:rPr>
                <w:rFonts w:eastAsia="Batang"/>
                <w:szCs w:val="20"/>
                <w:lang w:bidi="ar"/>
              </w:rPr>
            </w:pPr>
            <w:r>
              <w:rPr>
                <w:color w:val="000000" w:themeColor="text1"/>
                <w:shd w:val="clear" w:color="auto" w:fill="FFFF00"/>
                <w14:textFill>
                  <w14:solidFill>
                    <w14:schemeClr w14:val="tx1"/>
                  </w14:solidFill>
                </w14:textFill>
              </w:rPr>
              <w:t>A UE shall not expect to be configured with higher layer parameter</w:t>
            </w:r>
            <w:r>
              <w:rPr>
                <w:rStyle w:val="99"/>
                <w:i/>
                <w:iCs/>
                <w:color w:val="000000" w:themeColor="text1"/>
                <w:shd w:val="clear" w:color="auto" w:fill="FFFF00"/>
                <w14:textFill>
                  <w14:solidFill>
                    <w14:schemeClr w14:val="tx1"/>
                  </w14:solidFill>
                </w14:textFill>
              </w:rPr>
              <w:t xml:space="preserve"> </w:t>
            </w:r>
            <w:r>
              <w:rPr>
                <w:i/>
                <w:iCs/>
                <w:color w:val="000000" w:themeColor="text1"/>
                <w:shd w:val="clear" w:color="auto" w:fill="FFFF00"/>
                <w14:textFill>
                  <w14:solidFill>
                    <w14:schemeClr w14:val="tx1"/>
                  </w14:solidFill>
                </w14:textFill>
              </w:rPr>
              <w:t>ul-FullPowerTransmission</w:t>
            </w:r>
            <w:r>
              <w:rPr>
                <w:rStyle w:val="99"/>
                <w:color w:val="000000" w:themeColor="text1"/>
                <w:shd w:val="clear" w:color="auto" w:fill="FFFF00"/>
                <w14:textFill>
                  <w14:solidFill>
                    <w14:schemeClr w14:val="tx1"/>
                  </w14:solidFill>
                </w14:textFill>
              </w:rPr>
              <w:t xml:space="preserve"> </w:t>
            </w:r>
            <w:r>
              <w:rPr>
                <w:color w:val="000000" w:themeColor="text1"/>
                <w:shd w:val="clear" w:color="auto" w:fill="FFFF00"/>
                <w14:textFill>
                  <w14:solidFill>
                    <w14:schemeClr w14:val="tx1"/>
                  </w14:solidFill>
                </w14:textFill>
              </w:rPr>
              <w:t>set to 'fullpowerMode1</w:t>
            </w:r>
            <w:r>
              <w:rPr>
                <w:i/>
                <w:iCs/>
                <w:color w:val="000000" w:themeColor="text1"/>
                <w:shd w:val="clear" w:color="auto" w:fill="FFFF00"/>
                <w14:textFill>
                  <w14:solidFill>
                    <w14:schemeClr w14:val="tx1"/>
                  </w14:solidFill>
                </w14:textFill>
              </w:rPr>
              <w:t xml:space="preserve">' </w:t>
            </w:r>
            <w:r>
              <w:rPr>
                <w:color w:val="000000" w:themeColor="text1"/>
                <w:shd w:val="clear" w:color="auto" w:fill="FFFF00"/>
                <w14:textFill>
                  <w14:solidFill>
                    <w14:schemeClr w14:val="tx1"/>
                  </w14:solidFill>
                </w14:textFill>
              </w:rPr>
              <w:t xml:space="preserve">and </w:t>
            </w:r>
            <w:r>
              <w:rPr>
                <w:i/>
                <w:iCs/>
                <w:color w:val="000000" w:themeColor="text1"/>
                <w:shd w:val="clear" w:color="auto" w:fill="FFFF00"/>
                <w14:textFill>
                  <w14:solidFill>
                    <w14:schemeClr w14:val="tx1"/>
                  </w14:solidFill>
                </w14:textFill>
              </w:rPr>
              <w:t>codebookSubset</w:t>
            </w:r>
            <w:r>
              <w:rPr>
                <w:color w:val="000000" w:themeColor="text1"/>
                <w:shd w:val="clear" w:color="auto" w:fill="FFFF00"/>
                <w14:textFill>
                  <w14:solidFill>
                    <w14:schemeClr w14:val="tx1"/>
                  </w14:solidFill>
                </w14:textFill>
              </w:rPr>
              <w:t xml:space="preserve"> or </w:t>
            </w:r>
            <w:r>
              <w:rPr>
                <w:i/>
                <w:color w:val="000000"/>
                <w:kern w:val="2"/>
                <w:shd w:val="clear" w:color="auto" w:fill="FFFF00"/>
              </w:rPr>
              <w:t>codebookSubsetDCI-0-2</w:t>
            </w:r>
            <w:r>
              <w:rPr>
                <w:i/>
                <w:iCs/>
                <w:color w:val="000000" w:themeColor="text1"/>
                <w:shd w:val="clear" w:color="auto" w:fill="FFFF00"/>
                <w14:textFill>
                  <w14:solidFill>
                    <w14:schemeClr w14:val="tx1"/>
                  </w14:solidFill>
                </w14:textFill>
              </w:rPr>
              <w:t xml:space="preserve"> </w:t>
            </w:r>
            <w:r>
              <w:rPr>
                <w:color w:val="000000" w:themeColor="text1"/>
                <w:shd w:val="clear" w:color="auto" w:fill="FFFF00"/>
                <w14:textFill>
                  <w14:solidFill>
                    <w14:schemeClr w14:val="tx1"/>
                  </w14:solidFill>
                </w14:textFill>
              </w:rPr>
              <w:t>set to</w:t>
            </w:r>
            <w:r>
              <w:rPr>
                <w:rStyle w:val="99"/>
                <w:i/>
                <w:iCs/>
                <w:color w:val="000000" w:themeColor="text1"/>
                <w:shd w:val="clear" w:color="auto" w:fill="FFFF00"/>
                <w14:textFill>
                  <w14:solidFill>
                    <w14:schemeClr w14:val="tx1"/>
                  </w14:solidFill>
                </w14:textFill>
              </w:rPr>
              <w:t xml:space="preserve"> </w:t>
            </w:r>
            <w:r>
              <w:rPr>
                <w:i/>
                <w:iCs/>
                <w:color w:val="000000" w:themeColor="text1"/>
                <w:shd w:val="clear" w:color="auto" w:fill="FFFF00"/>
                <w14:textFill>
                  <w14:solidFill>
                    <w14:schemeClr w14:val="tx1"/>
                  </w14:solidFill>
                </w14:textFill>
              </w:rPr>
              <w:t>'</w:t>
            </w:r>
            <w:r>
              <w:rPr>
                <w:color w:val="000000" w:themeColor="text1"/>
                <w:shd w:val="clear" w:color="auto" w:fill="FFFF00"/>
                <w14:textFill>
                  <w14:solidFill>
                    <w14:schemeClr w14:val="tx1"/>
                  </w14:solidFill>
                </w14:textFill>
              </w:rPr>
              <w:t>fullAndPartialAndNonCoherent</w:t>
            </w:r>
            <w:r>
              <w:rPr>
                <w:i/>
                <w:iCs/>
                <w:color w:val="000000" w:themeColor="text1"/>
                <w:shd w:val="clear" w:color="auto" w:fill="FFFF00"/>
                <w14:textFill>
                  <w14:solidFill>
                    <w14:schemeClr w14:val="tx1"/>
                  </w14:solidFill>
                </w14:textFill>
              </w:rPr>
              <w:t>'</w:t>
            </w:r>
            <w:r>
              <w:rPr>
                <w:rStyle w:val="99"/>
                <w:i/>
                <w:iCs/>
                <w:color w:val="000000" w:themeColor="text1"/>
                <w:shd w:val="clear" w:color="auto" w:fill="FFFF00"/>
                <w14:textFill>
                  <w14:solidFill>
                    <w14:schemeClr w14:val="tx1"/>
                  </w14:solidFill>
                </w14:textFill>
              </w:rPr>
              <w:t xml:space="preserve"> </w:t>
            </w:r>
            <w:r>
              <w:rPr>
                <w:color w:val="000000" w:themeColor="text1"/>
                <w:shd w:val="clear" w:color="auto" w:fill="FFFF00"/>
                <w14:textFill>
                  <w14:solidFill>
                    <w14:schemeClr w14:val="tx1"/>
                  </w14:solidFill>
                </w14:textFill>
              </w:rPr>
              <w:t>simultaneously.</w:t>
            </w:r>
          </w:p>
          <w:p>
            <w:pPr>
              <w:spacing w:before="108" w:after="108"/>
              <w:jc w:val="center"/>
              <w:rPr>
                <w:rFonts w:eastAsia="宋体"/>
              </w:rPr>
            </w:pPr>
            <w:r>
              <w:rPr>
                <w:rFonts w:eastAsia="Batang"/>
                <w:szCs w:val="20"/>
                <w:lang w:bidi="ar"/>
              </w:rPr>
              <w:t>&lt;unrelated part is omitting&gt;</w:t>
            </w:r>
          </w:p>
        </w:tc>
      </w:tr>
    </w:tbl>
    <w:p>
      <w:pPr>
        <w:spacing w:before="108" w:after="108"/>
        <w:rPr>
          <w:rFonts w:eastAsia="宋体"/>
        </w:rPr>
      </w:pPr>
      <w:r>
        <w:rPr>
          <w:rFonts w:hint="eastAsia" w:eastAsia="宋体"/>
        </w:rPr>
        <w:t>Last, it can be noted that TPMI field design depending on both full power mode and antenna port coherency. Given that the necessity of different configuration with regards to these two capabilities among two SRS resource sets for single DCI based STxMP PUSCH, the size of 1</w:t>
      </w:r>
      <w:r>
        <w:rPr>
          <w:rFonts w:hint="eastAsia" w:eastAsia="宋体"/>
          <w:vertAlign w:val="superscript"/>
        </w:rPr>
        <w:t>st</w:t>
      </w:r>
      <w:r>
        <w:rPr>
          <w:rFonts w:hint="eastAsia" w:eastAsia="宋体"/>
        </w:rPr>
        <w:t xml:space="preserve"> TPMI and 2</w:t>
      </w:r>
      <w:r>
        <w:rPr>
          <w:rFonts w:hint="eastAsia" w:eastAsia="宋体"/>
          <w:vertAlign w:val="superscript"/>
        </w:rPr>
        <w:t>nd</w:t>
      </w:r>
      <w:r>
        <w:rPr>
          <w:rFonts w:hint="eastAsia" w:eastAsia="宋体"/>
        </w:rPr>
        <w:t xml:space="preserve"> TPMI will be divisive in both SDM and sTRP. Correspondingly, Alt 4 in section 2.1 is the best especially for TPMI design for dynamic switching between SDM and sTRP. And then, it is natural to let RAN2 take care of the necessary RRC signaling design to facilitate this objective.</w:t>
      </w:r>
    </w:p>
    <w:p>
      <w:pPr>
        <w:spacing w:before="108" w:after="108"/>
        <w:rPr>
          <w:rFonts w:eastAsia="宋体"/>
          <w:i/>
          <w:iCs/>
        </w:rPr>
      </w:pPr>
      <w:r>
        <w:rPr>
          <w:rFonts w:hint="eastAsia" w:eastAsia="宋体"/>
          <w:b/>
          <w:bCs/>
          <w:i/>
          <w:iCs/>
        </w:rPr>
        <w:t>Proposal 2:</w:t>
      </w:r>
      <w:r>
        <w:rPr>
          <w:rFonts w:hint="eastAsia" w:eastAsia="宋体"/>
          <w:i/>
          <w:iCs/>
        </w:rPr>
        <w:t xml:space="preserve"> Support to configure different values with regards to full power mode and antenna port coherency among two SRS resource sets for single DCI based STxMP PUSCH.</w:t>
      </w:r>
    </w:p>
    <w:p>
      <w:pPr>
        <w:pStyle w:val="51"/>
        <w:numPr>
          <w:ilvl w:val="0"/>
          <w:numId w:val="10"/>
        </w:numPr>
        <w:spacing w:before="108" w:after="108"/>
        <w:ind w:leftChars="0"/>
        <w:rPr>
          <w:rFonts w:eastAsia="宋体"/>
          <w:i/>
          <w:iCs/>
          <w:lang w:val="en-US"/>
        </w:rPr>
      </w:pPr>
      <w:r>
        <w:rPr>
          <w:rFonts w:hint="eastAsia" w:eastAsia="宋体"/>
          <w:i/>
          <w:iCs/>
          <w:lang w:val="en-US"/>
        </w:rPr>
        <w:t>The relevant RRC signaling design is up to RAN2.</w:t>
      </w:r>
    </w:p>
    <w:p>
      <w:pPr>
        <w:pStyle w:val="3"/>
        <w:spacing w:before="360" w:beforeLines="100" w:after="180"/>
        <w:ind w:left="431" w:hanging="431"/>
        <w:rPr>
          <w:lang w:val="en-US"/>
        </w:rPr>
      </w:pPr>
      <w:r>
        <w:rPr>
          <w:rFonts w:hint="eastAsia"/>
          <w:lang w:val="en-US"/>
        </w:rPr>
        <w:t>Maximum number of layers for SDM vs sTRP</w:t>
      </w:r>
    </w:p>
    <w:p>
      <w:pPr>
        <w:spacing w:before="108" w:after="108"/>
      </w:pPr>
      <w:r>
        <w:rPr>
          <w:rFonts w:eastAsia="宋体"/>
        </w:rPr>
        <w:t>Regarding the configured maximum number of layers for SDM scheme and sTRP operation, the following working assumption was reached in RAN1#112 meeting [</w:t>
      </w:r>
      <w:r>
        <w:rPr>
          <w:rFonts w:hint="eastAsia" w:eastAsia="宋体"/>
        </w:rPr>
        <w:t>3</w:t>
      </w:r>
      <w:r>
        <w:rPr>
          <w:rFonts w:eastAsia="宋体"/>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jc w:val="left"/>
              <w:rPr>
                <w:b/>
                <w:highlight w:val="darkYellow"/>
              </w:rPr>
            </w:pPr>
            <w:r>
              <w:rPr>
                <w:rFonts w:eastAsia="Batang"/>
                <w:b/>
                <w:szCs w:val="24"/>
                <w:highlight w:val="darkYellow"/>
                <w:lang w:bidi="ar"/>
              </w:rPr>
              <w:t>Working Assumption</w:t>
            </w:r>
          </w:p>
          <w:p>
            <w:pPr>
              <w:spacing w:before="108" w:after="108"/>
              <w:jc w:val="left"/>
            </w:pPr>
            <w:r>
              <w:rPr>
                <w:rFonts w:eastAsia="Batang"/>
                <w:szCs w:val="24"/>
                <w:lang w:bidi="ar"/>
              </w:rPr>
              <w:t>For dynamic switching between STxMP SDM scheme and sTRP transmission, support the following:</w:t>
            </w:r>
          </w:p>
          <w:p>
            <w:pPr>
              <w:pStyle w:val="127"/>
              <w:numPr>
                <w:ilvl w:val="0"/>
                <w:numId w:val="20"/>
              </w:numPr>
              <w:spacing w:before="108" w:after="108"/>
              <w:ind w:leftChars="0"/>
              <w:jc w:val="both"/>
              <w:rPr>
                <w:rFonts w:ascii="Times New Roman" w:hAnsi="Times New Roman"/>
              </w:rPr>
            </w:pPr>
            <w:r>
              <w:rPr>
                <w:rFonts w:ascii="Times New Roman" w:hAnsi="Times New Roman"/>
              </w:rPr>
              <w:t>For sTRP transmission: The maximal number of layers of sTRP transmission is configured by the maxRank (or Lmax) as in current spec (i.e., Option 1)</w:t>
            </w:r>
          </w:p>
          <w:p>
            <w:pPr>
              <w:pStyle w:val="127"/>
              <w:numPr>
                <w:ilvl w:val="0"/>
                <w:numId w:val="20"/>
              </w:numPr>
              <w:spacing w:before="108" w:after="108"/>
              <w:ind w:leftChars="0"/>
              <w:jc w:val="both"/>
              <w:rPr>
                <w:rFonts w:ascii="Times New Roman" w:hAnsi="Times New Roman"/>
              </w:rPr>
            </w:pPr>
            <w:r>
              <w:rPr>
                <w:rFonts w:ascii="Times New Roman" w:hAnsi="Times New Roman"/>
              </w:rPr>
              <w:t xml:space="preserve">For SDM scheme: </w:t>
            </w:r>
            <w:r>
              <w:rPr>
                <w:rFonts w:ascii="Times New Roman" w:hAnsi="Times New Roman"/>
                <w:szCs w:val="20"/>
              </w:rPr>
              <w:t>configure one single maximal number of layers (separate from maxRank (or Lmax) for sTRP) that is applied to the first SRS resource set and the second SRS resource set, separately (i.e., Alt1)</w:t>
            </w:r>
          </w:p>
          <w:p>
            <w:pPr>
              <w:pStyle w:val="127"/>
              <w:numPr>
                <w:ilvl w:val="0"/>
                <w:numId w:val="20"/>
              </w:numPr>
              <w:spacing w:before="108" w:after="108"/>
              <w:ind w:leftChars="0"/>
              <w:jc w:val="both"/>
              <w:rPr>
                <w:rFonts w:ascii="Times New Roman" w:hAnsi="Times New Roman"/>
              </w:rPr>
            </w:pPr>
            <w:r>
              <w:rPr>
                <w:rFonts w:ascii="Times New Roman" w:hAnsi="Times New Roman"/>
              </w:rPr>
              <w:t xml:space="preserve">FFS: Whether/How to enable that the total number of used PUSCH antenna ports for the SDM and sTRP is the same. </w:t>
            </w:r>
          </w:p>
          <w:p>
            <w:pPr>
              <w:pStyle w:val="127"/>
              <w:numPr>
                <w:ilvl w:val="1"/>
                <w:numId w:val="20"/>
              </w:numPr>
              <w:spacing w:before="108" w:after="108"/>
              <w:ind w:leftChars="0"/>
              <w:jc w:val="both"/>
              <w:rPr>
                <w:rFonts w:ascii="Times New Roman" w:hAnsi="Times New Roman"/>
              </w:rPr>
            </w:pPr>
            <w:r>
              <w:rPr>
                <w:rFonts w:ascii="Times New Roman" w:hAnsi="Times New Roman"/>
              </w:rPr>
              <w:t>Note: This corresponds to the case that digital ports are shared between the panels</w:t>
            </w:r>
          </w:p>
          <w:p>
            <w:pPr>
              <w:pStyle w:val="127"/>
              <w:numPr>
                <w:ilvl w:val="1"/>
                <w:numId w:val="20"/>
              </w:numPr>
              <w:spacing w:before="108" w:after="108"/>
              <w:ind w:leftChars="0"/>
              <w:jc w:val="both"/>
              <w:rPr>
                <w:rFonts w:ascii="Times New Roman" w:hAnsi="Times New Roman"/>
                <w:bCs/>
              </w:rPr>
            </w:pPr>
            <w:r>
              <w:rPr>
                <w:rFonts w:ascii="Times New Roman" w:hAnsi="Times New Roman"/>
              </w:rPr>
              <w:t>Note: RAN1 supports both implementations that digital ports are shared or separate among panels</w:t>
            </w:r>
          </w:p>
        </w:tc>
      </w:tr>
    </w:tbl>
    <w:p>
      <w:pPr>
        <w:spacing w:before="108" w:after="108"/>
        <w:rPr>
          <w:rFonts w:eastAsia="宋体"/>
        </w:rPr>
      </w:pPr>
      <w:r>
        <w:rPr>
          <w:rFonts w:hint="eastAsia" w:eastAsia="宋体"/>
        </w:rPr>
        <w:t>According to the above WA</w:t>
      </w:r>
      <w:r>
        <w:rPr>
          <w:rFonts w:eastAsia="宋体"/>
        </w:rPr>
        <w:t xml:space="preserve">, it has reached out a consensus that the maximum number of layers per panel should be the same, hence it was agreed to configure one single maximum number of layers and shared </w:t>
      </w:r>
      <w:r>
        <w:rPr>
          <w:rFonts w:hint="eastAsia" w:eastAsia="宋体"/>
        </w:rPr>
        <w:t xml:space="preserve">it </w:t>
      </w:r>
      <w:r>
        <w:rPr>
          <w:rFonts w:eastAsia="宋体"/>
        </w:rPr>
        <w:t xml:space="preserve">to the first and/or second SRS resource sets when SDM scheme or sTRP operation. In addition, it needs to figure out whether/how to enable the total number of used PUSCH ports is the same between SDM scheme and sTRP operation. As </w:t>
      </w:r>
      <w:r>
        <w:rPr>
          <w:rFonts w:hint="eastAsia" w:eastAsia="宋体"/>
        </w:rPr>
        <w:t>per</w:t>
      </w:r>
      <w:r>
        <w:rPr>
          <w:rFonts w:eastAsia="宋体"/>
        </w:rPr>
        <w:t xml:space="preserve"> the working assumption above, this issue is </w:t>
      </w:r>
      <w:r>
        <w:rPr>
          <w:rFonts w:hint="eastAsia" w:eastAsia="宋体"/>
        </w:rPr>
        <w:t xml:space="preserve">actually </w:t>
      </w:r>
      <w:r>
        <w:rPr>
          <w:rFonts w:eastAsia="宋体"/>
        </w:rPr>
        <w:t xml:space="preserve">related to the architecture of MP-UE implementation, which includes the shared and separate digital ports among panels. </w:t>
      </w:r>
    </w:p>
    <w:p>
      <w:pPr>
        <w:spacing w:before="108" w:after="108"/>
        <w:rPr>
          <w:rFonts w:eastAsia="宋体"/>
        </w:rPr>
      </w:pPr>
      <w:r>
        <w:rPr>
          <w:rFonts w:eastAsia="宋体"/>
        </w:rPr>
        <w:t xml:space="preserve">Consequently, the following Figure 1 was provided in the moderator summary in </w:t>
      </w:r>
      <w:r>
        <w:rPr>
          <w:rFonts w:hint="eastAsia" w:eastAsia="宋体"/>
        </w:rPr>
        <w:t>RAN1#112</w:t>
      </w:r>
      <w:r>
        <w:rPr>
          <w:rFonts w:eastAsia="宋体"/>
        </w:rPr>
        <w:t xml:space="preserve"> meeting (with some additional details) to depict the preliminary assumptions of the MP-UE implementation, where the maximum number of layers is equivalent to the number of digital ports that is two per panel due to the agreed maximum layer combination {2+2} of single DCI based STxMP PUSCH in SDM scheme. </w:t>
      </w:r>
      <w:r>
        <w:rPr>
          <w:rFonts w:hint="eastAsia" w:eastAsia="宋体"/>
        </w:rPr>
        <w:t>Furthermore,</w:t>
      </w:r>
    </w:p>
    <w:p>
      <w:pPr>
        <w:numPr>
          <w:ilvl w:val="0"/>
          <w:numId w:val="21"/>
        </w:numPr>
        <w:spacing w:before="108" w:after="108"/>
        <w:rPr>
          <w:rFonts w:eastAsia="宋体"/>
        </w:rPr>
      </w:pPr>
      <w:r>
        <w:rPr>
          <w:rFonts w:eastAsia="宋体"/>
        </w:rPr>
        <w:t xml:space="preserve">For the architecture shown on the left in Figure 1, it assumes that each of digital ports can be mapped to up to two antenna ports. Therefore, it means 4 partial-coherent antenna ports allocated in each panel and then the indicated precoder of each panel is one of TPMIs 0-13. </w:t>
      </w:r>
    </w:p>
    <w:p>
      <w:pPr>
        <w:numPr>
          <w:ilvl w:val="0"/>
          <w:numId w:val="21"/>
        </w:numPr>
        <w:spacing w:before="108" w:after="108"/>
        <w:rPr>
          <w:rFonts w:eastAsia="宋体"/>
        </w:rPr>
      </w:pPr>
      <w:r>
        <w:rPr>
          <w:rFonts w:eastAsia="宋体"/>
        </w:rPr>
        <w:t xml:space="preserve">By comparison, the architecture shown on the right in Figure 1 assumes that each of digital ports can be mapped to only one antenna port, hence its assumption is that 4 non-coherent antenna ports allocated in each panel and then the indicated precoder per panel is one of TPMIs 0-5. </w:t>
      </w:r>
    </w:p>
    <w:p>
      <w:pPr>
        <w:spacing w:before="108" w:after="108"/>
        <w:jc w:val="center"/>
      </w:pPr>
      <w:r>
        <w:drawing>
          <wp:inline distT="0" distB="0" distL="114300" distR="114300">
            <wp:extent cx="4601845" cy="1764665"/>
            <wp:effectExtent l="0" t="0" r="8255"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601845" cy="1764665"/>
                    </a:xfrm>
                    <a:prstGeom prst="rect">
                      <a:avLst/>
                    </a:prstGeom>
                  </pic:spPr>
                </pic:pic>
              </a:graphicData>
            </a:graphic>
          </wp:inline>
        </w:drawing>
      </w:r>
    </w:p>
    <w:p>
      <w:pPr>
        <w:spacing w:before="108" w:after="108"/>
        <w:jc w:val="center"/>
        <w:rPr>
          <w:rFonts w:eastAsia="宋体"/>
        </w:rPr>
      </w:pPr>
      <w:r>
        <w:rPr>
          <w:rFonts w:eastAsia="宋体"/>
          <w:b/>
          <w:bCs/>
        </w:rPr>
        <w:t>Figure 1</w:t>
      </w:r>
      <w:r>
        <w:rPr>
          <w:rFonts w:eastAsia="宋体"/>
        </w:rPr>
        <w:tab/>
      </w:r>
      <w:r>
        <w:rPr>
          <w:rFonts w:eastAsia="宋体"/>
        </w:rPr>
        <w:t>Preliminary assumptions of the MP-UE implementation when single DCI based STxMP PUSCH in SDM scheme</w:t>
      </w:r>
    </w:p>
    <w:p>
      <w:pPr>
        <w:spacing w:before="108" w:after="108"/>
        <w:rPr>
          <w:rFonts w:eastAsia="宋体"/>
        </w:rPr>
      </w:pPr>
      <w:r>
        <w:rPr>
          <w:rFonts w:eastAsia="宋体"/>
        </w:rPr>
        <w:t>Intuitively, the assumption of these two architectures (as shown in Figure 1 above) is uncompleted because the coherency of antenna ports is hereby neglected, but this should be taken into account when it comes to the discussion of the total number of “the used PUSCH antenna ports”. More precisely, according to the current precoders/TPMIs of 4 antenna ports based PUSCH transmission as specified in TS 38.211, each transmission layer (a.k.a digital port herein) can be respectively mapped to up to 4 antenna ports when full-coherency, up to 2 antenna ports when partial-coherency and up to 1 antenna port when non-coherency.</w:t>
      </w:r>
    </w:p>
    <w:p>
      <w:pPr>
        <w:spacing w:before="108" w:after="108"/>
        <w:rPr>
          <w:rFonts w:eastAsia="宋体"/>
        </w:rPr>
      </w:pPr>
      <w:r>
        <w:rPr>
          <w:rFonts w:hint="eastAsia" w:eastAsia="宋体"/>
        </w:rPr>
        <w:t>Moreover</w:t>
      </w:r>
      <w:r>
        <w:rPr>
          <w:rFonts w:eastAsia="宋体"/>
        </w:rPr>
        <w:t xml:space="preserve">, Figure 2 illustrates the case of 4 full-coherent antenna ports per panel in SDM scheme (where the indicated precoder per panel is one of TPMIs 0-21), and Figure 3 shows the corresponding dynamic switching between SDM and sTRP under the MP-UE </w:t>
      </w:r>
      <w:r>
        <w:rPr>
          <w:rFonts w:hint="eastAsia" w:eastAsia="宋体"/>
        </w:rPr>
        <w:t xml:space="preserve">architecture </w:t>
      </w:r>
      <w:r>
        <w:rPr>
          <w:rFonts w:eastAsia="宋体"/>
        </w:rPr>
        <w:t xml:space="preserve">with shared digital ports among panels. It can be seen that 8 PUSCH antenna ports in total can be used when SDM scheme but up to 4 PUSCH antenna ports can be used when </w:t>
      </w:r>
      <w:r>
        <w:rPr>
          <w:rFonts w:hint="eastAsia" w:eastAsia="宋体"/>
        </w:rPr>
        <w:t xml:space="preserve">it </w:t>
      </w:r>
      <w:r>
        <w:rPr>
          <w:rFonts w:eastAsia="宋体"/>
        </w:rPr>
        <w:t>switch</w:t>
      </w:r>
      <w:r>
        <w:rPr>
          <w:rFonts w:hint="eastAsia" w:eastAsia="宋体"/>
        </w:rPr>
        <w:t>es</w:t>
      </w:r>
      <w:r>
        <w:rPr>
          <w:rFonts w:eastAsia="宋体"/>
        </w:rPr>
        <w:t xml:space="preserve"> to sTRP operation. Nevertheless, the total number of “the used PUSCH antenna ports” between SDM and sTRP can be the same or different in such case due to it </w:t>
      </w:r>
      <w:r>
        <w:rPr>
          <w:rFonts w:hint="eastAsia" w:eastAsia="宋体"/>
        </w:rPr>
        <w:t xml:space="preserve">indeed </w:t>
      </w:r>
      <w:r>
        <w:rPr>
          <w:rFonts w:eastAsia="宋体"/>
        </w:rPr>
        <w:t xml:space="preserve">depends on the indicated precoder/TPMI per panel. </w:t>
      </w:r>
    </w:p>
    <w:p>
      <w:pPr>
        <w:numPr>
          <w:ilvl w:val="0"/>
          <w:numId w:val="22"/>
        </w:numPr>
        <w:spacing w:before="108" w:after="108"/>
        <w:rPr>
          <w:rFonts w:eastAsia="宋体"/>
        </w:rPr>
      </w:pPr>
      <w:r>
        <w:rPr>
          <w:rFonts w:eastAsia="宋体"/>
        </w:rPr>
        <w:t xml:space="preserve">For </w:t>
      </w:r>
      <w:r>
        <w:rPr>
          <w:rFonts w:hint="eastAsia" w:eastAsia="宋体"/>
        </w:rPr>
        <w:t xml:space="preserve">an </w:t>
      </w:r>
      <w:r>
        <w:rPr>
          <w:rFonts w:eastAsia="宋体"/>
        </w:rPr>
        <w:t xml:space="preserve">instance, when TPMI 1 = </w:t>
      </w:r>
      <w:r>
        <w:rPr>
          <w:rFonts w:eastAsia="Batang"/>
          <w:position w:val="-56"/>
        </w:rPr>
        <w:object>
          <v:shape id="_x0000_i1025" o:spt="75" type="#_x0000_t75" style="height:51pt;width:47.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eastAsia="宋体"/>
        </w:rPr>
        <w:t xml:space="preserve"> plus TPMI 2 = </w:t>
      </w:r>
      <w:r>
        <w:rPr>
          <w:rFonts w:eastAsia="Batang"/>
          <w:position w:val="-56"/>
        </w:rPr>
        <w:object>
          <v:shape id="_x0000_i1026" o:spt="75" type="#_x0000_t75" style="height:51pt;width:50.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宋体"/>
        </w:rPr>
        <w:t xml:space="preserve"> are indicated in SDM scheme, and TPMI 1 or TPMI 2 = </w:t>
      </w:r>
      <w:r>
        <w:rPr>
          <w:rFonts w:eastAsia="Batang"/>
          <w:position w:val="-56"/>
        </w:rPr>
        <w:object>
          <v:shape id="_x0000_i1027" o:spt="75" type="#_x0000_t75" style="height:51pt;width:71.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eastAsia="宋体"/>
        </w:rPr>
        <w:t xml:space="preserve"> is indicated in sTRP operation, it is different because the total number of “the used PUSCH antenna ports” in SDM scheme is 8 (calculated by 4+4 from two panels) but that of sTRP </w:t>
      </w:r>
      <w:r>
        <w:rPr>
          <w:rFonts w:hint="eastAsia" w:eastAsia="宋体"/>
        </w:rPr>
        <w:t xml:space="preserve">operation </w:t>
      </w:r>
      <w:r>
        <w:rPr>
          <w:rFonts w:eastAsia="宋体"/>
        </w:rPr>
        <w:t xml:space="preserve">is 4. </w:t>
      </w:r>
    </w:p>
    <w:p>
      <w:pPr>
        <w:numPr>
          <w:ilvl w:val="0"/>
          <w:numId w:val="22"/>
        </w:numPr>
        <w:spacing w:before="108" w:after="108"/>
        <w:rPr>
          <w:rFonts w:eastAsia="宋体"/>
        </w:rPr>
      </w:pPr>
      <w:r>
        <w:rPr>
          <w:rFonts w:hint="eastAsia" w:eastAsia="宋体"/>
        </w:rPr>
        <w:t>For another instance</w:t>
      </w:r>
      <w:r>
        <w:rPr>
          <w:rFonts w:eastAsia="宋体"/>
        </w:rPr>
        <w:t xml:space="preserve">, when TPMI 1 = </w:t>
      </w:r>
      <w:r>
        <w:rPr>
          <w:rFonts w:eastAsia="Batang"/>
          <w:position w:val="-56"/>
        </w:rPr>
        <w:object>
          <v:shape id="_x0000_i1028" o:spt="75" type="#_x0000_t75" style="height:51pt;width:33.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eastAsia="宋体"/>
        </w:rPr>
        <w:t xml:space="preserve"> plus TPMI 2 = </w:t>
      </w:r>
      <w:r>
        <w:rPr>
          <w:rFonts w:eastAsia="Batang"/>
          <w:position w:val="-56"/>
        </w:rPr>
        <w:object>
          <v:shape id="_x0000_i1029" o:spt="75" type="#_x0000_t75" style="height:51pt;width:33.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eastAsia="宋体"/>
        </w:rPr>
        <w:t xml:space="preserve"> are indicated in SDM scheme, and TPMI 1 or TPMI 2  = </w:t>
      </w:r>
      <w:r>
        <w:rPr>
          <w:rFonts w:eastAsia="Batang"/>
          <w:position w:val="-56"/>
        </w:rPr>
        <w:object>
          <v:shape id="_x0000_i1030" o:spt="75" type="#_x0000_t75" style="height:51pt;width:71.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21">
            <o:LockedField>false</o:LockedField>
          </o:OLEObject>
        </w:object>
      </w:r>
      <w:r>
        <w:rPr>
          <w:rFonts w:eastAsia="宋体"/>
        </w:rPr>
        <w:t xml:space="preserve"> is indicated in sTRP operation, it is the same because the total number of “the used PUSCH antenna ports” when SDM scheme is 4 (derived from 2+2 from two panels) and that of sTRP </w:t>
      </w:r>
      <w:r>
        <w:rPr>
          <w:rFonts w:hint="eastAsia" w:eastAsia="宋体"/>
        </w:rPr>
        <w:t xml:space="preserve">operation </w:t>
      </w:r>
      <w:r>
        <w:rPr>
          <w:rFonts w:eastAsia="宋体"/>
        </w:rPr>
        <w:t>is 4.</w:t>
      </w:r>
    </w:p>
    <w:p>
      <w:pPr>
        <w:spacing w:before="108" w:after="108"/>
        <w:jc w:val="center"/>
      </w:pPr>
      <w:r>
        <w:drawing>
          <wp:inline distT="0" distB="0" distL="114300" distR="114300">
            <wp:extent cx="2356485" cy="1981835"/>
            <wp:effectExtent l="0" t="0" r="5715" b="1841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2"/>
                    <a:stretch>
                      <a:fillRect/>
                    </a:stretch>
                  </pic:blipFill>
                  <pic:spPr>
                    <a:xfrm>
                      <a:off x="0" y="0"/>
                      <a:ext cx="2356485" cy="1981835"/>
                    </a:xfrm>
                    <a:prstGeom prst="rect">
                      <a:avLst/>
                    </a:prstGeom>
                    <a:noFill/>
                    <a:ln>
                      <a:noFill/>
                    </a:ln>
                  </pic:spPr>
                </pic:pic>
              </a:graphicData>
            </a:graphic>
          </wp:inline>
        </w:drawing>
      </w:r>
    </w:p>
    <w:p>
      <w:pPr>
        <w:spacing w:before="108" w:after="108"/>
        <w:jc w:val="center"/>
        <w:rPr>
          <w:rFonts w:eastAsia="宋体"/>
        </w:rPr>
      </w:pPr>
      <w:r>
        <w:rPr>
          <w:rFonts w:eastAsia="宋体"/>
          <w:b/>
          <w:bCs/>
        </w:rPr>
        <w:t>Figure 2</w:t>
      </w:r>
      <w:r>
        <w:rPr>
          <w:rFonts w:eastAsia="宋体"/>
        </w:rPr>
        <w:tab/>
      </w:r>
      <w:r>
        <w:rPr>
          <w:rFonts w:eastAsia="宋体"/>
        </w:rPr>
        <w:t>MP-UE implementation enabled by 4 full-coherent antenna ports per panel when single DCI based STxMP PUSCH in SDM scheme</w:t>
      </w:r>
    </w:p>
    <w:p>
      <w:pPr>
        <w:spacing w:before="108" w:after="108"/>
        <w:jc w:val="center"/>
      </w:pPr>
      <w:r>
        <w:drawing>
          <wp:inline distT="0" distB="0" distL="114300" distR="114300">
            <wp:extent cx="3881120" cy="3239770"/>
            <wp:effectExtent l="0" t="0" r="5080" b="1778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3"/>
                    <a:stretch>
                      <a:fillRect/>
                    </a:stretch>
                  </pic:blipFill>
                  <pic:spPr>
                    <a:xfrm>
                      <a:off x="0" y="0"/>
                      <a:ext cx="3881120" cy="3239770"/>
                    </a:xfrm>
                    <a:prstGeom prst="rect">
                      <a:avLst/>
                    </a:prstGeom>
                    <a:noFill/>
                    <a:ln>
                      <a:noFill/>
                    </a:ln>
                  </pic:spPr>
                </pic:pic>
              </a:graphicData>
            </a:graphic>
          </wp:inline>
        </w:drawing>
      </w:r>
    </w:p>
    <w:p>
      <w:pPr>
        <w:spacing w:before="108" w:after="108"/>
        <w:jc w:val="center"/>
        <w:rPr>
          <w:rFonts w:eastAsia="宋体"/>
        </w:rPr>
      </w:pPr>
      <w:r>
        <w:rPr>
          <w:rFonts w:eastAsia="宋体"/>
          <w:b/>
          <w:bCs/>
        </w:rPr>
        <w:t>Figure 3</w:t>
      </w:r>
      <w:r>
        <w:rPr>
          <w:rFonts w:eastAsia="宋体"/>
        </w:rPr>
        <w:tab/>
      </w:r>
      <w:r>
        <w:rPr>
          <w:rFonts w:eastAsia="宋体"/>
        </w:rPr>
        <w:t>Dynamic switching between SDM and sTRP in case of MP-UE enabled with shared digital ports among panels</w:t>
      </w:r>
    </w:p>
    <w:p>
      <w:pPr>
        <w:spacing w:before="108" w:after="108"/>
        <w:rPr>
          <w:rFonts w:eastAsia="宋体"/>
        </w:rPr>
      </w:pPr>
      <w:r>
        <w:rPr>
          <w:rFonts w:eastAsia="宋体"/>
        </w:rPr>
        <w:t xml:space="preserve">Additionally, Figure 4 shows the case of MP-UE with separate digital ports among panels. Similarly, the total number of “the used PUSCH antenna ports” between SDM and sTRP can still be the same or different in this case due to it also depends on the indicated precoder/TPMI per panel. </w:t>
      </w:r>
    </w:p>
    <w:p>
      <w:pPr>
        <w:numPr>
          <w:ilvl w:val="0"/>
          <w:numId w:val="23"/>
        </w:numPr>
        <w:spacing w:before="108" w:after="108"/>
        <w:rPr>
          <w:rFonts w:eastAsia="宋体"/>
        </w:rPr>
      </w:pPr>
      <w:r>
        <w:rPr>
          <w:rFonts w:eastAsia="宋体"/>
        </w:rPr>
        <w:t xml:space="preserve">For </w:t>
      </w:r>
      <w:r>
        <w:rPr>
          <w:rFonts w:hint="eastAsia" w:eastAsia="宋体"/>
        </w:rPr>
        <w:t xml:space="preserve">an </w:t>
      </w:r>
      <w:r>
        <w:rPr>
          <w:rFonts w:eastAsia="宋体"/>
        </w:rPr>
        <w:t xml:space="preserve">example, when TPMI 1 = </w:t>
      </w:r>
      <w:r>
        <w:rPr>
          <w:rFonts w:eastAsia="Batang"/>
          <w:position w:val="-56"/>
        </w:rPr>
        <w:object>
          <v:shape id="_x0000_i1031" o:spt="75" type="#_x0000_t75" style="height:51pt;width:47.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4">
            <o:LockedField>false</o:LockedField>
          </o:OLEObject>
        </w:object>
      </w:r>
      <w:r>
        <w:rPr>
          <w:rFonts w:eastAsia="宋体"/>
        </w:rPr>
        <w:t xml:space="preserve"> plus TPMI 2 = </w:t>
      </w:r>
      <w:r>
        <w:rPr>
          <w:rFonts w:eastAsia="Batang"/>
          <w:position w:val="-56"/>
        </w:rPr>
        <w:object>
          <v:shape id="_x0000_i1032" o:spt="75" type="#_x0000_t75" style="height:51pt;width:50.5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5">
            <o:LockedField>false</o:LockedField>
          </o:OLEObject>
        </w:object>
      </w:r>
      <w:r>
        <w:rPr>
          <w:rFonts w:eastAsia="宋体"/>
        </w:rPr>
        <w:t xml:space="preserve"> are indicated in SDM scheme, and TPMI 1 or TPMI 2 = </w:t>
      </w:r>
      <w:r>
        <w:rPr>
          <w:rFonts w:eastAsia="Batang"/>
          <w:position w:val="-56"/>
        </w:rPr>
        <w:object>
          <v:shape id="_x0000_i1033" o:spt="75" type="#_x0000_t75" style="height:51pt;width:47.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r>
        <w:rPr>
          <w:rFonts w:eastAsia="宋体"/>
        </w:rPr>
        <w:t xml:space="preserve"> is indicated in sTRP operation, it is different because the total number of “the used PUSCH antenna ports” when SDM scheme is 8 (calculated by 4+4 from two panels) but that of sTRP </w:t>
      </w:r>
      <w:r>
        <w:rPr>
          <w:rFonts w:hint="eastAsia" w:eastAsia="宋体"/>
        </w:rPr>
        <w:t xml:space="preserve">operation </w:t>
      </w:r>
      <w:r>
        <w:rPr>
          <w:rFonts w:eastAsia="宋体"/>
        </w:rPr>
        <w:t xml:space="preserve">is 4. </w:t>
      </w:r>
    </w:p>
    <w:p>
      <w:pPr>
        <w:numPr>
          <w:ilvl w:val="0"/>
          <w:numId w:val="23"/>
        </w:numPr>
        <w:spacing w:before="108" w:after="108"/>
      </w:pPr>
      <w:r>
        <w:rPr>
          <w:rFonts w:hint="eastAsia" w:eastAsia="宋体"/>
        </w:rPr>
        <w:t>For another example</w:t>
      </w:r>
      <w:r>
        <w:rPr>
          <w:rFonts w:eastAsia="宋体"/>
        </w:rPr>
        <w:t xml:space="preserve">, when TPMI 1 = </w:t>
      </w:r>
      <w:r>
        <w:rPr>
          <w:rFonts w:eastAsia="Batang"/>
          <w:position w:val="-56"/>
        </w:rPr>
        <w:object>
          <v:shape id="_x0000_i1034" o:spt="75" type="#_x0000_t75" style="height:51pt;width:33.5pt;" o:ole="t" filled="f" o:preferrelative="t" stroked="f" coordsize="21600,21600">
            <v:path/>
            <v:fill on="f" focussize="0,0"/>
            <v:stroke on="f" joinstyle="miter"/>
            <v:imagedata r:id="rId18" o:title=""/>
            <o:lock v:ext="edit" aspectratio="t"/>
            <w10:wrap type="none"/>
            <w10:anchorlock/>
          </v:shape>
          <o:OLEObject Type="Embed" ProgID="Equation.3" ShapeID="_x0000_i1034" DrawAspect="Content" ObjectID="_1468075734" r:id="rId27">
            <o:LockedField>false</o:LockedField>
          </o:OLEObject>
        </w:object>
      </w:r>
      <w:r>
        <w:rPr>
          <w:rFonts w:eastAsia="宋体"/>
        </w:rPr>
        <w:t xml:space="preserve"> plus TPMI 2 = </w:t>
      </w:r>
      <w:r>
        <w:rPr>
          <w:rFonts w:eastAsia="Batang"/>
          <w:position w:val="-56"/>
        </w:rPr>
        <w:object>
          <v:shape id="_x0000_i1035" o:spt="75" type="#_x0000_t75" style="height:51pt;width:33.5pt;" o:ole="t" filled="f" o:preferrelative="t" stroked="f" coordsize="21600,21600">
            <v:path/>
            <v:fill on="f" focussize="0,0"/>
            <v:stroke on="f" joinstyle="miter"/>
            <v:imagedata r:id="rId20" o:title=""/>
            <o:lock v:ext="edit" aspectratio="t"/>
            <w10:wrap type="none"/>
            <w10:anchorlock/>
          </v:shape>
          <o:OLEObject Type="Embed" ProgID="Equation.3" ShapeID="_x0000_i1035" DrawAspect="Content" ObjectID="_1468075735" r:id="rId28">
            <o:LockedField>false</o:LockedField>
          </o:OLEObject>
        </w:object>
      </w:r>
      <w:r>
        <w:rPr>
          <w:rFonts w:eastAsia="宋体"/>
        </w:rPr>
        <w:t xml:space="preserve"> are indicated in SDM scheme, and TPMI 1 or TPMI 2  = </w:t>
      </w:r>
      <w:r>
        <w:rPr>
          <w:rFonts w:eastAsia="Batang"/>
          <w:position w:val="-56"/>
        </w:rPr>
        <w:object>
          <v:shape id="_x0000_i1036" o:spt="75" type="#_x0000_t75" style="height:51pt;width:47.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9">
            <o:LockedField>false</o:LockedField>
          </o:OLEObject>
        </w:object>
      </w:r>
      <w:r>
        <w:rPr>
          <w:rFonts w:eastAsia="宋体"/>
        </w:rPr>
        <w:t xml:space="preserve"> is indicated in sTRP operation, it is the same because the total number of “the used PUSCH antenna ports” when SDM scheme is 4 (calculated by 2+2 from two panels) and that of sTRP </w:t>
      </w:r>
      <w:r>
        <w:rPr>
          <w:rFonts w:hint="eastAsia" w:eastAsia="宋体"/>
        </w:rPr>
        <w:t xml:space="preserve">operation </w:t>
      </w:r>
      <w:r>
        <w:rPr>
          <w:rFonts w:eastAsia="宋体"/>
        </w:rPr>
        <w:t>is 4.</w:t>
      </w:r>
    </w:p>
    <w:p>
      <w:pPr>
        <w:spacing w:before="108" w:after="108"/>
        <w:jc w:val="center"/>
      </w:pPr>
      <w:r>
        <w:drawing>
          <wp:inline distT="0" distB="0" distL="114300" distR="114300">
            <wp:extent cx="3613150" cy="3239770"/>
            <wp:effectExtent l="0" t="0" r="6350" b="1778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30"/>
                    <a:stretch>
                      <a:fillRect/>
                    </a:stretch>
                  </pic:blipFill>
                  <pic:spPr>
                    <a:xfrm>
                      <a:off x="0" y="0"/>
                      <a:ext cx="3613150" cy="3239770"/>
                    </a:xfrm>
                    <a:prstGeom prst="rect">
                      <a:avLst/>
                    </a:prstGeom>
                    <a:noFill/>
                    <a:ln>
                      <a:noFill/>
                    </a:ln>
                  </pic:spPr>
                </pic:pic>
              </a:graphicData>
            </a:graphic>
          </wp:inline>
        </w:drawing>
      </w:r>
    </w:p>
    <w:p>
      <w:pPr>
        <w:spacing w:before="108" w:after="108"/>
        <w:jc w:val="center"/>
        <w:rPr>
          <w:rFonts w:eastAsia="宋体"/>
        </w:rPr>
      </w:pPr>
      <w:r>
        <w:rPr>
          <w:rFonts w:eastAsia="宋体"/>
          <w:b/>
          <w:bCs/>
        </w:rPr>
        <w:t>Figure 4</w:t>
      </w:r>
      <w:r>
        <w:rPr>
          <w:rFonts w:eastAsia="宋体"/>
        </w:rPr>
        <w:tab/>
      </w:r>
      <w:r>
        <w:rPr>
          <w:rFonts w:eastAsia="宋体"/>
        </w:rPr>
        <w:t>Dynamic switching between SDM and sTRP in case of MP-UE enabled with separate digital ports among panels</w:t>
      </w:r>
    </w:p>
    <w:p>
      <w:pPr>
        <w:spacing w:before="108" w:after="108"/>
        <w:rPr>
          <w:rFonts w:eastAsia="宋体"/>
        </w:rPr>
      </w:pPr>
      <w:r>
        <w:rPr>
          <w:rFonts w:eastAsia="宋体"/>
        </w:rPr>
        <w:t xml:space="preserve">In light of the elaboration above, it </w:t>
      </w:r>
      <w:r>
        <w:rPr>
          <w:rFonts w:hint="eastAsia" w:eastAsia="宋体"/>
        </w:rPr>
        <w:t>can be figured out</w:t>
      </w:r>
      <w:r>
        <w:rPr>
          <w:rFonts w:eastAsia="宋体"/>
        </w:rPr>
        <w:t xml:space="preserve"> that the total number of “the used PUSCH antenna ports” between SDM scheme and sTRP operation can be the same or different, no matter digital ports are shared or separate among panels. More accurately, it is directly relevant to the indicated TPMI/precoders under the capability of the panel (i.e. maximum number of layers, the number of antenna ports, the coherency of antenna ports, etc). To avoid any ambiguities, it is proper to capture this understanding </w:t>
      </w:r>
      <w:r>
        <w:rPr>
          <w:rFonts w:hint="eastAsia" w:eastAsia="宋体"/>
        </w:rPr>
        <w:t xml:space="preserve">for </w:t>
      </w:r>
      <w:r>
        <w:rPr>
          <w:rFonts w:eastAsia="宋体"/>
        </w:rPr>
        <w:t>confirming the working assumption.</w:t>
      </w:r>
    </w:p>
    <w:p>
      <w:pPr>
        <w:spacing w:before="108" w:after="108"/>
        <w:rPr>
          <w:rFonts w:eastAsia="宋体"/>
          <w:b/>
          <w:bCs/>
          <w:i/>
          <w:iCs/>
        </w:rPr>
      </w:pPr>
      <w:r>
        <w:rPr>
          <w:rFonts w:eastAsia="宋体"/>
          <w:b/>
          <w:bCs/>
          <w:i/>
          <w:iCs/>
        </w:rPr>
        <w:t xml:space="preserve">Observation </w:t>
      </w:r>
      <w:r>
        <w:rPr>
          <w:rFonts w:hint="eastAsia" w:eastAsia="宋体"/>
          <w:b/>
          <w:bCs/>
          <w:i/>
          <w:iCs/>
        </w:rPr>
        <w:t>3</w:t>
      </w:r>
      <w:r>
        <w:rPr>
          <w:rFonts w:eastAsia="宋体"/>
          <w:i/>
          <w:iCs/>
        </w:rPr>
        <w:t xml:space="preserve">: The total number of used PUSCH antenna ports between SDM and sTRP can be the same or different, </w:t>
      </w:r>
      <w:r>
        <w:rPr>
          <w:rFonts w:hint="eastAsia" w:eastAsia="宋体"/>
          <w:i/>
          <w:iCs/>
        </w:rPr>
        <w:t>which is irrelevant to</w:t>
      </w:r>
      <w:r>
        <w:rPr>
          <w:rFonts w:eastAsia="宋体"/>
          <w:i/>
          <w:iCs/>
        </w:rPr>
        <w:t xml:space="preserve"> the digital ports among panels are shared or separate.</w:t>
      </w:r>
    </w:p>
    <w:p>
      <w:pPr>
        <w:spacing w:before="108" w:after="108"/>
        <w:rPr>
          <w:rFonts w:eastAsia="宋体"/>
          <w:i/>
          <w:iCs/>
        </w:rPr>
      </w:pPr>
      <w:r>
        <w:rPr>
          <w:rFonts w:eastAsia="宋体"/>
          <w:b/>
          <w:bCs/>
          <w:i/>
          <w:iCs/>
        </w:rPr>
        <w:t xml:space="preserve">Proposal </w:t>
      </w:r>
      <w:r>
        <w:rPr>
          <w:rFonts w:hint="eastAsia" w:eastAsia="宋体"/>
          <w:b/>
          <w:bCs/>
          <w:i/>
          <w:iCs/>
        </w:rPr>
        <w:t>3</w:t>
      </w:r>
      <w:r>
        <w:rPr>
          <w:rFonts w:eastAsia="宋体"/>
          <w:b/>
          <w:bCs/>
          <w:i/>
          <w:iCs/>
        </w:rPr>
        <w:t xml:space="preserve">: </w:t>
      </w:r>
      <w:r>
        <w:rPr>
          <w:rFonts w:hint="eastAsia" w:eastAsia="宋体"/>
          <w:i/>
          <w:iCs/>
        </w:rPr>
        <w:t>Support t</w:t>
      </w:r>
      <w:r>
        <w:rPr>
          <w:rFonts w:eastAsia="宋体"/>
          <w:i/>
          <w:iCs/>
        </w:rPr>
        <w:t>o confirm the working assumption on the maximum number of layers for SDM vs sTRP in RAN1#112</w:t>
      </w:r>
      <w:r>
        <w:rPr>
          <w:rFonts w:hint="eastAsia" w:eastAsia="宋体"/>
          <w:i/>
          <w:iCs/>
        </w:rPr>
        <w:t xml:space="preserve"> with the following </w:t>
      </w:r>
      <w:r>
        <w:rPr>
          <w:rFonts w:eastAsia="宋体"/>
          <w:i/>
          <w:iCs/>
        </w:rPr>
        <w:t>modification</w:t>
      </w:r>
      <w:r>
        <w:rPr>
          <w:rFonts w:hint="eastAsia" w:eastAsia="宋体"/>
          <w:i/>
          <w:iCs/>
          <w:lang w:val="en-US" w:eastAsia="zh-CN"/>
        </w:rPr>
        <w:t>s</w:t>
      </w:r>
      <w:r>
        <w:rPr>
          <w:rFonts w:eastAsia="宋体"/>
          <w:i/>
          <w:iCs/>
        </w:rPr>
        <w:t>:</w:t>
      </w:r>
    </w:p>
    <w:p>
      <w:pPr>
        <w:spacing w:before="108" w:after="108"/>
        <w:jc w:val="left"/>
        <w:rPr>
          <w:i/>
          <w:iCs/>
        </w:rPr>
      </w:pPr>
      <w:r>
        <w:rPr>
          <w:rFonts w:eastAsia="Batang"/>
          <w:i/>
          <w:iCs/>
          <w:szCs w:val="24"/>
          <w:lang w:bidi="ar"/>
        </w:rPr>
        <w:t>For dynamic switching between STxMP SDM scheme and sTRP transmission, support the following:</w:t>
      </w:r>
    </w:p>
    <w:p>
      <w:pPr>
        <w:pStyle w:val="128"/>
        <w:numPr>
          <w:ilvl w:val="0"/>
          <w:numId w:val="20"/>
        </w:numPr>
        <w:spacing w:before="108" w:after="108"/>
        <w:ind w:leftChars="0"/>
        <w:jc w:val="both"/>
        <w:rPr>
          <w:rFonts w:ascii="Times New Roman" w:hAnsi="Times New Roman"/>
          <w:i/>
          <w:iCs/>
        </w:rPr>
      </w:pPr>
      <w:r>
        <w:rPr>
          <w:rFonts w:ascii="Times New Roman" w:hAnsi="Times New Roman"/>
          <w:i/>
          <w:iCs/>
        </w:rPr>
        <w:t>For sTRP transmission: The maximal number of layers of sTRP transmission is configured by the maxRank (or Lmax) as in current spec (i.e., Option 1)</w:t>
      </w:r>
    </w:p>
    <w:p>
      <w:pPr>
        <w:pStyle w:val="128"/>
        <w:numPr>
          <w:ilvl w:val="0"/>
          <w:numId w:val="20"/>
        </w:numPr>
        <w:spacing w:before="108" w:after="108"/>
        <w:ind w:leftChars="0"/>
        <w:jc w:val="both"/>
        <w:rPr>
          <w:rFonts w:ascii="Times New Roman" w:hAnsi="Times New Roman"/>
          <w:i/>
          <w:iCs/>
        </w:rPr>
      </w:pPr>
      <w:r>
        <w:rPr>
          <w:rFonts w:ascii="Times New Roman" w:hAnsi="Times New Roman"/>
          <w:i/>
          <w:iCs/>
        </w:rPr>
        <w:t xml:space="preserve">For SDM scheme: </w:t>
      </w:r>
      <w:r>
        <w:rPr>
          <w:rFonts w:ascii="Times New Roman" w:hAnsi="Times New Roman"/>
          <w:i/>
          <w:iCs/>
          <w:szCs w:val="20"/>
        </w:rPr>
        <w:t>configure one single maximal number of layers (separate from maxRank (or Lmax) for sTRP) that is applied to the first SRS resource set and the second SRS resource set, separately (i.e., Alt1)</w:t>
      </w:r>
    </w:p>
    <w:p>
      <w:pPr>
        <w:pStyle w:val="128"/>
        <w:numPr>
          <w:ilvl w:val="0"/>
          <w:numId w:val="20"/>
        </w:numPr>
        <w:spacing w:before="108" w:after="108"/>
        <w:ind w:leftChars="0"/>
        <w:jc w:val="both"/>
        <w:rPr>
          <w:rFonts w:ascii="Times New Roman" w:hAnsi="Times New Roman"/>
          <w:i/>
          <w:iCs/>
        </w:rPr>
      </w:pPr>
      <w:r>
        <w:rPr>
          <w:rFonts w:hint="eastAsia" w:ascii="Times New Roman" w:hAnsi="Times New Roman"/>
          <w:i/>
          <w:iCs/>
          <w:strike/>
          <w:color w:val="FF0000"/>
        </w:rPr>
        <w:t>FFS: Whether/how to enable that t</w:t>
      </w:r>
      <w:r>
        <w:rPr>
          <w:rFonts w:ascii="Times New Roman" w:hAnsi="Times New Roman"/>
          <w:i/>
          <w:iCs/>
          <w:color w:val="FF0000"/>
        </w:rPr>
        <w:t>T</w:t>
      </w:r>
      <w:r>
        <w:rPr>
          <w:rFonts w:ascii="Times New Roman" w:hAnsi="Times New Roman"/>
          <w:i/>
          <w:iCs/>
        </w:rPr>
        <w:t xml:space="preserve">he total number of used PUSCH antenna ports for the SDM and sTRP </w:t>
      </w:r>
      <w:r>
        <w:rPr>
          <w:rFonts w:hint="eastAsia" w:ascii="Times New Roman" w:hAnsi="Times New Roman"/>
          <w:i/>
          <w:iCs/>
          <w:strike/>
          <w:color w:val="FF0000"/>
        </w:rPr>
        <w:t xml:space="preserve">is </w:t>
      </w:r>
      <w:r>
        <w:rPr>
          <w:rFonts w:ascii="Times New Roman" w:hAnsi="Times New Roman"/>
          <w:i/>
          <w:iCs/>
          <w:color w:val="FF0000"/>
        </w:rPr>
        <w:t>can be</w:t>
      </w:r>
      <w:r>
        <w:rPr>
          <w:rFonts w:ascii="Times New Roman" w:hAnsi="Times New Roman"/>
          <w:i/>
          <w:iCs/>
        </w:rPr>
        <w:t xml:space="preserve"> the same</w:t>
      </w:r>
      <w:r>
        <w:rPr>
          <w:rFonts w:ascii="Times New Roman" w:hAnsi="Times New Roman"/>
          <w:i/>
          <w:iCs/>
          <w:color w:val="FF0000"/>
        </w:rPr>
        <w:t xml:space="preserve"> or different</w:t>
      </w:r>
      <w:r>
        <w:rPr>
          <w:rFonts w:ascii="Times New Roman" w:hAnsi="Times New Roman"/>
          <w:i/>
          <w:iCs/>
        </w:rPr>
        <w:t xml:space="preserve">. </w:t>
      </w:r>
    </w:p>
    <w:p>
      <w:pPr>
        <w:pStyle w:val="128"/>
        <w:numPr>
          <w:ilvl w:val="1"/>
          <w:numId w:val="20"/>
        </w:numPr>
        <w:spacing w:before="108" w:after="108"/>
        <w:ind w:leftChars="0"/>
        <w:jc w:val="both"/>
        <w:rPr>
          <w:rFonts w:ascii="Times New Roman" w:hAnsi="Times New Roman" w:eastAsia="宋体"/>
          <w:b/>
          <w:bCs/>
          <w:i/>
          <w:iCs/>
        </w:rPr>
      </w:pPr>
      <w:r>
        <w:rPr>
          <w:rFonts w:ascii="Times New Roman" w:hAnsi="Times New Roman"/>
          <w:i/>
          <w:iCs/>
        </w:rPr>
        <w:t>Note: This corresponds to the case that digital ports are shared between the panels.</w:t>
      </w:r>
    </w:p>
    <w:p>
      <w:pPr>
        <w:pStyle w:val="128"/>
        <w:numPr>
          <w:ilvl w:val="1"/>
          <w:numId w:val="20"/>
        </w:numPr>
        <w:spacing w:before="108" w:after="108"/>
        <w:ind w:leftChars="0"/>
        <w:jc w:val="both"/>
        <w:rPr>
          <w:rFonts w:ascii="Times New Roman" w:hAnsi="Times New Roman"/>
        </w:rPr>
      </w:pPr>
      <w:r>
        <w:rPr>
          <w:rFonts w:ascii="Times New Roman" w:hAnsi="Times New Roman"/>
          <w:i/>
          <w:iCs/>
        </w:rPr>
        <w:t>Note: RAN1 supports both implementations that digital ports are shared or separate among panels.</w:t>
      </w:r>
    </w:p>
    <w:p>
      <w:pPr>
        <w:pStyle w:val="2"/>
        <w:keepNext/>
        <w:tabs>
          <w:tab w:val="left" w:pos="3686"/>
          <w:tab w:val="left" w:pos="4536"/>
        </w:tabs>
        <w:spacing w:before="360" w:beforeLines="100" w:after="180" w:line="240" w:lineRule="auto"/>
        <w:textAlignment w:val="baseline"/>
        <w:rPr>
          <w:lang w:val="en-US"/>
        </w:rPr>
      </w:pPr>
      <w:r>
        <w:rPr>
          <w:lang w:val="en-US"/>
        </w:rPr>
        <w:t>Multi-DCI based STxMP PUSCH</w:t>
      </w:r>
      <w:r>
        <w:rPr>
          <w:rFonts w:hint="eastAsia"/>
          <w:lang w:val="en-US"/>
        </w:rPr>
        <w:t xml:space="preserve"> </w:t>
      </w:r>
      <w:r>
        <w:rPr>
          <w:lang w:val="en-US"/>
        </w:rPr>
        <w:t>+</w:t>
      </w:r>
      <w:r>
        <w:rPr>
          <w:rFonts w:hint="eastAsia"/>
          <w:lang w:val="en-US"/>
        </w:rPr>
        <w:t xml:space="preserve"> </w:t>
      </w:r>
      <w:r>
        <w:rPr>
          <w:lang w:val="en-US"/>
        </w:rPr>
        <w:t>PUSCH transmission</w:t>
      </w:r>
    </w:p>
    <w:p>
      <w:pPr>
        <w:pStyle w:val="3"/>
        <w:spacing w:before="360" w:beforeLines="100" w:after="180"/>
        <w:ind w:left="431" w:hanging="431"/>
        <w:rPr>
          <w:lang w:val="en-US"/>
        </w:rPr>
      </w:pPr>
      <w:r>
        <w:rPr>
          <w:rFonts w:hint="eastAsia"/>
          <w:lang w:val="en-US"/>
        </w:rPr>
        <w:t>UCI multiplexing in case of STxMP PUSCH + PUSCH</w:t>
      </w:r>
    </w:p>
    <w:p>
      <w:pPr>
        <w:spacing w:before="108" w:after="108"/>
        <w:rPr>
          <w:rFonts w:eastAsia="宋体"/>
        </w:rPr>
      </w:pPr>
      <w:r>
        <w:rPr>
          <w:rFonts w:hint="eastAsia"/>
        </w:rPr>
        <w:t xml:space="preserve">Regarding </w:t>
      </w:r>
      <w:r>
        <w:rPr>
          <w:rFonts w:hint="eastAsia" w:eastAsia="宋体"/>
        </w:rPr>
        <w:t>UCI multiplexing in case that one PUCCH overlaps with MDCI based STxMP PUSCH + PUSCH</w:t>
      </w:r>
      <w:r>
        <w:t xml:space="preserve">, </w:t>
      </w:r>
      <w:r>
        <w:rPr>
          <w:rFonts w:hint="eastAsia" w:eastAsia="宋体"/>
        </w:rPr>
        <w:t xml:space="preserve">the following </w:t>
      </w:r>
      <w:r>
        <w:t xml:space="preserve">agreement </w:t>
      </w:r>
      <w:r>
        <w:rPr>
          <w:rFonts w:hint="eastAsia" w:eastAsia="宋体"/>
        </w:rPr>
        <w:t xml:space="preserve">was endorsed </w:t>
      </w:r>
      <w:r>
        <w:t xml:space="preserve">in </w:t>
      </w:r>
      <w:r>
        <w:rPr>
          <w:rFonts w:eastAsia="宋体"/>
        </w:rPr>
        <w:t>RAN1#11</w:t>
      </w:r>
      <w:r>
        <w:rPr>
          <w:rFonts w:hint="eastAsia" w:eastAsia="宋体"/>
        </w:rPr>
        <w:t>2b-e</w:t>
      </w:r>
      <w:r>
        <w:rPr>
          <w:rFonts w:eastAsia="宋体"/>
        </w:rPr>
        <w:t xml:space="preserve"> </w:t>
      </w:r>
      <w:r>
        <w:t>meeting [</w:t>
      </w:r>
      <w:r>
        <w:rPr>
          <w:rFonts w:hint="eastAsia" w:eastAsia="宋体"/>
        </w:rPr>
        <w:t>2</w:t>
      </w:r>
      <w:r>
        <w:t>]</w:t>
      </w:r>
      <w:r>
        <w:rPr>
          <w:rFonts w:hint="eastAsia" w:eastAsia="宋体"/>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Style w:val="30"/>
                <w:rFonts w:eastAsia="Malgun Gothic" w:cs="Times"/>
                <w:szCs w:val="20"/>
                <w:highlight w:val="none"/>
                <w:u w:val="single"/>
              </w:rPr>
            </w:pPr>
            <w:r>
              <w:rPr>
                <w:rStyle w:val="30"/>
                <w:rFonts w:cs="Times"/>
                <w:color w:val="000000"/>
                <w:szCs w:val="20"/>
                <w:highlight w:val="none"/>
                <w:u w:val="single"/>
              </w:rPr>
              <w:t>Agreement</w:t>
            </w:r>
          </w:p>
          <w:p>
            <w:pPr>
              <w:spacing w:before="108" w:after="108"/>
              <w:rPr>
                <w:rFonts w:ascii="Calibri" w:hAnsi="Calibri" w:cs="Calibri"/>
              </w:rPr>
            </w:pPr>
            <w:r>
              <w:rPr>
                <w:lang w:val="en-CA"/>
              </w:rPr>
              <w:t>For case that one PUCCH overlaps with two overlapped PUSCHs in multi-DCI based STxMP PUSCH+PUSCH, down-select one for the UCI multiplexing:</w:t>
            </w:r>
          </w:p>
          <w:p>
            <w:pPr>
              <w:numPr>
                <w:ilvl w:val="0"/>
                <w:numId w:val="24"/>
              </w:numPr>
              <w:spacing w:before="108" w:after="108"/>
              <w:ind w:hanging="357"/>
            </w:pPr>
            <w:r>
              <w:rPr>
                <w:lang w:val="en-CA"/>
              </w:rPr>
              <w:t>Option 1: the UCI is multiplexed into the PUSCH associated with the same</w:t>
            </w:r>
            <w:r>
              <w:rPr>
                <w:rStyle w:val="99"/>
                <w:lang w:val="en-CA"/>
              </w:rPr>
              <w:t> </w:t>
            </w:r>
            <w:r>
              <w:rPr>
                <w:lang w:val="en-CA"/>
              </w:rPr>
              <w:t>TRP. And among the PUSCHs associated with the same</w:t>
            </w:r>
            <w:r>
              <w:rPr>
                <w:rStyle w:val="99"/>
                <w:lang w:val="en-CA"/>
              </w:rPr>
              <w:t> </w:t>
            </w:r>
            <w:r>
              <w:rPr>
                <w:lang w:val="en-CA"/>
              </w:rPr>
              <w:t xml:space="preserve">TRP, the legacy PUSCH priority order for UCI multiplexing is applied. </w:t>
            </w:r>
            <w:r>
              <w:rPr>
                <w:color w:val="000000"/>
                <w:lang w:val="en-CA"/>
              </w:rPr>
              <w:t xml:space="preserve">FFS: determining the PUSCH associated with the same TRP. </w:t>
            </w:r>
          </w:p>
          <w:p>
            <w:pPr>
              <w:numPr>
                <w:ilvl w:val="0"/>
                <w:numId w:val="24"/>
              </w:numPr>
              <w:spacing w:before="108" w:after="108"/>
              <w:ind w:hanging="357"/>
              <w:rPr>
                <w:color w:val="000000"/>
              </w:rPr>
            </w:pPr>
            <w:r>
              <w:rPr>
                <w:lang w:val="en-CA"/>
              </w:rPr>
              <w:t xml:space="preserve">Option 2: the legacy PUSCH priority order for UCI multiplexing is first applied and if at last, there are two PUSCHs with the same start time in one same CC, the UCI is multiplexed in </w:t>
            </w:r>
            <w:r>
              <w:rPr>
                <w:color w:val="000000"/>
                <w:lang w:val="en-CA"/>
              </w:rPr>
              <w:t xml:space="preserve">(FFS: one or two) of these two PUSCHs, and FFS which one PUSCH. </w:t>
            </w:r>
          </w:p>
          <w:p>
            <w:pPr>
              <w:numPr>
                <w:ilvl w:val="0"/>
                <w:numId w:val="24"/>
              </w:numPr>
              <w:spacing w:before="108" w:after="108"/>
              <w:ind w:hanging="357"/>
            </w:pPr>
            <w:r>
              <w:rPr>
                <w:lang w:val="en-CA"/>
              </w:rPr>
              <w:t xml:space="preserve">Option 3: </w:t>
            </w:r>
          </w:p>
          <w:p>
            <w:pPr>
              <w:numPr>
                <w:ilvl w:val="1"/>
                <w:numId w:val="24"/>
              </w:numPr>
              <w:spacing w:before="108" w:after="108"/>
              <w:ind w:hanging="357"/>
            </w:pPr>
            <w:r>
              <w:rPr>
                <w:lang w:val="en-CA"/>
              </w:rPr>
              <w:t>When</w:t>
            </w:r>
            <w:r>
              <w:rPr>
                <w:rStyle w:val="99"/>
                <w:lang w:val="en-CA"/>
              </w:rPr>
              <w:t> </w:t>
            </w:r>
            <w:r>
              <w:rPr>
                <w:lang w:val="en-CA"/>
              </w:rPr>
              <w:t>joint HARQ-ACK feedback is configured,</w:t>
            </w:r>
            <w:r>
              <w:rPr>
                <w:rStyle w:val="99"/>
                <w:lang w:val="en-CA"/>
              </w:rPr>
              <w:t> </w:t>
            </w:r>
            <w:r>
              <w:rPr>
                <w:lang w:val="en-CA"/>
              </w:rPr>
              <w:t xml:space="preserve">the legacy PUSCH priority order for UCI multiplexing is first applied and if at last, there are two PUSCHs with the same start time in one same CC, the </w:t>
            </w:r>
            <w:r>
              <w:rPr>
                <w:color w:val="000000"/>
                <w:lang w:val="en-CA"/>
              </w:rPr>
              <w:t>UCI is m</w:t>
            </w:r>
            <w:r>
              <w:rPr>
                <w:lang w:val="en-CA"/>
              </w:rPr>
              <w:t xml:space="preserve">ultiplexed in </w:t>
            </w:r>
            <w:r>
              <w:rPr>
                <w:color w:val="000000"/>
                <w:lang w:val="en-CA"/>
              </w:rPr>
              <w:t xml:space="preserve">(FFS: one or two) of these two PUSCHs, and FFS which one PUSCH. </w:t>
            </w:r>
          </w:p>
          <w:p>
            <w:pPr>
              <w:numPr>
                <w:ilvl w:val="1"/>
                <w:numId w:val="24"/>
              </w:numPr>
              <w:spacing w:before="108" w:after="108"/>
              <w:ind w:hanging="357"/>
            </w:pPr>
            <w:r>
              <w:rPr>
                <w:lang w:val="en-CA"/>
              </w:rPr>
              <w:t>When</w:t>
            </w:r>
            <w:r>
              <w:rPr>
                <w:rStyle w:val="99"/>
                <w:lang w:val="en-CA"/>
              </w:rPr>
              <w:t> </w:t>
            </w:r>
            <w:r>
              <w:rPr>
                <w:lang w:val="en-CA"/>
              </w:rPr>
              <w:t>separate HARQ-ACK feedback is configured, at least when the UCI includes HARQ-ACK,</w:t>
            </w:r>
            <w:r>
              <w:rPr>
                <w:rStyle w:val="99"/>
                <w:lang w:val="en-CA"/>
              </w:rPr>
              <w:t> </w:t>
            </w:r>
            <w:r>
              <w:rPr>
                <w:lang w:val="en-CA"/>
              </w:rPr>
              <w:t>the UCI is multiplexed into the PUSCH associated with the same</w:t>
            </w:r>
            <w:r>
              <w:rPr>
                <w:rStyle w:val="99"/>
                <w:lang w:val="en-CA"/>
              </w:rPr>
              <w:t> </w:t>
            </w:r>
            <w:r>
              <w:rPr>
                <w:lang w:val="en-CA"/>
              </w:rPr>
              <w:t>TRP. And among the PUSCHs associated with the same</w:t>
            </w:r>
            <w:r>
              <w:rPr>
                <w:rStyle w:val="99"/>
                <w:lang w:val="en-CA"/>
              </w:rPr>
              <w:t> </w:t>
            </w:r>
            <w:r>
              <w:rPr>
                <w:lang w:val="en-CA"/>
              </w:rPr>
              <w:t>TRP, the legacy PUSCH priority order for UCI multiplexing is applied</w:t>
            </w:r>
            <w:r>
              <w:rPr>
                <w:color w:val="000000"/>
                <w:lang w:val="en-CA"/>
              </w:rPr>
              <w:t xml:space="preserve">. FFS: determining </w:t>
            </w:r>
            <w:r>
              <w:rPr>
                <w:lang w:val="en-CA"/>
              </w:rPr>
              <w:t>the PUSCH associated with the same</w:t>
            </w:r>
            <w:r>
              <w:rPr>
                <w:rStyle w:val="99"/>
                <w:lang w:val="en-CA"/>
              </w:rPr>
              <w:t> </w:t>
            </w:r>
            <w:r>
              <w:rPr>
                <w:lang w:val="en-CA"/>
              </w:rPr>
              <w:t xml:space="preserve">TRP. </w:t>
            </w:r>
          </w:p>
          <w:p>
            <w:pPr>
              <w:numPr>
                <w:ilvl w:val="2"/>
                <w:numId w:val="24"/>
              </w:numPr>
              <w:spacing w:before="108" w:after="108"/>
              <w:ind w:hanging="357"/>
            </w:pPr>
            <w:r>
              <w:rPr>
                <w:lang w:val="en-CA"/>
              </w:rPr>
              <w:t>FFS: When the UCI does not include HARQ-ACK (CSI and/or SR), whether to follow the same behavior as above, or to follow the behavior of the case that joint HARQ-ACK feedback is configured.</w:t>
            </w:r>
          </w:p>
          <w:p>
            <w:pPr>
              <w:numPr>
                <w:ilvl w:val="1"/>
                <w:numId w:val="24"/>
              </w:numPr>
              <w:spacing w:before="108" w:after="108"/>
              <w:ind w:hanging="357"/>
            </w:pPr>
            <w:r>
              <w:t>Note: Here using joint HARQ-ACK feedback and separate HARQ-ACK feedback is mainly for discussion purpose. FFS: whether to introduce a new RRC parameter to indicate that.</w:t>
            </w:r>
          </w:p>
          <w:p>
            <w:pPr>
              <w:numPr>
                <w:ilvl w:val="0"/>
                <w:numId w:val="24"/>
              </w:numPr>
              <w:spacing w:before="108" w:after="108"/>
              <w:ind w:hanging="357"/>
            </w:pPr>
            <w:r>
              <w:t>FFS</w:t>
            </w:r>
            <w:r>
              <w:rPr>
                <w:rStyle w:val="99"/>
              </w:rPr>
              <w:t> </w:t>
            </w:r>
            <w:r>
              <w:t>the impact of the following legacy restriction on the above options:</w:t>
            </w:r>
            <w:r>
              <w:rPr>
                <w:rStyle w:val="99"/>
              </w:rPr>
              <w:t> </w:t>
            </w:r>
            <w:r>
              <w:t xml:space="preserve"> when separate HARQ feedback is configured, a PUCCH</w:t>
            </w:r>
            <w:r>
              <w:rPr>
                <w:rStyle w:val="99"/>
              </w:rPr>
              <w:t> </w:t>
            </w:r>
            <w:r>
              <w:t>transmission</w:t>
            </w:r>
            <w:r>
              <w:rPr>
                <w:rStyle w:val="99"/>
              </w:rPr>
              <w:t> </w:t>
            </w:r>
            <w:r>
              <w:t xml:space="preserve">triggered by DCI associated with one </w:t>
            </w:r>
            <w:r>
              <w:rPr>
                <w:i/>
              </w:rPr>
              <w:t>coresetPoolIndex</w:t>
            </w:r>
            <w:r>
              <w:t xml:space="preserve"> cannot overlap in time with a PUSCH</w:t>
            </w:r>
            <w:r>
              <w:rPr>
                <w:rStyle w:val="99"/>
              </w:rPr>
              <w:t> </w:t>
            </w:r>
            <w:r>
              <w:t>transmission</w:t>
            </w:r>
            <w:r>
              <w:rPr>
                <w:rStyle w:val="99"/>
              </w:rPr>
              <w:t> </w:t>
            </w:r>
            <w:r>
              <w:t xml:space="preserve">triggered by DCI associated with another </w:t>
            </w:r>
            <w:r>
              <w:rPr>
                <w:i/>
              </w:rPr>
              <w:t>coresetPoolIndex</w:t>
            </w:r>
            <w:r>
              <w:t>.</w:t>
            </w:r>
            <w:r>
              <w:rPr>
                <w:rStyle w:val="99"/>
              </w:rPr>
              <w:t> </w:t>
            </w:r>
            <w:r>
              <w:t>  </w:t>
            </w:r>
          </w:p>
          <w:p>
            <w:pPr>
              <w:numPr>
                <w:ilvl w:val="0"/>
                <w:numId w:val="24"/>
              </w:numPr>
              <w:spacing w:before="108" w:after="108"/>
              <w:ind w:hanging="357"/>
            </w:pPr>
            <w:r>
              <w:t>Note: each of the above options is applied to the system when the system is configured with multi-DCI based STxMP PUSCH+PUSCH.</w:t>
            </w:r>
          </w:p>
        </w:tc>
      </w:tr>
    </w:tbl>
    <w:p>
      <w:pPr>
        <w:spacing w:before="108" w:after="108"/>
      </w:pPr>
      <w:r>
        <w:rPr>
          <w:rFonts w:hint="eastAsia" w:eastAsia="宋体"/>
        </w:rPr>
        <w:t xml:space="preserve">Three options were raised to address this issue, </w:t>
      </w:r>
      <w:r>
        <w:rPr>
          <w:rFonts w:eastAsia="宋体"/>
        </w:rPr>
        <w:t xml:space="preserve">and then </w:t>
      </w:r>
      <w:r>
        <w:rPr>
          <w:rFonts w:hint="eastAsia" w:eastAsia="宋体"/>
        </w:rPr>
        <w:t>the analyses of each are provided as follows:</w:t>
      </w:r>
    </w:p>
    <w:p>
      <w:pPr>
        <w:numPr>
          <w:ilvl w:val="0"/>
          <w:numId w:val="25"/>
        </w:numPr>
        <w:spacing w:before="108" w:after="108"/>
      </w:pPr>
      <w:r>
        <w:rPr>
          <w:rFonts w:hint="eastAsia"/>
        </w:rPr>
        <w:t xml:space="preserve">For option 1, it is to multiplex UCI into the PUSCH associated with the same TRP firstly, and then the legacy PUSCH priority order for UCI multiplexing within the same TRP is applied. In this way, it can be workable to both non-ideal backhaul and ideal backhaul assumptions for MDCI MTRP operation in case of different types of UCI (i.e., HARQ-ACK feedback, SR and CSI). </w:t>
      </w:r>
    </w:p>
    <w:p>
      <w:pPr>
        <w:numPr>
          <w:ilvl w:val="0"/>
          <w:numId w:val="25"/>
        </w:numPr>
        <w:spacing w:before="108" w:after="108"/>
      </w:pPr>
      <w:r>
        <w:rPr>
          <w:rFonts w:hint="eastAsia"/>
        </w:rPr>
        <w:t>For option 2, note that the legacy PUSCH priority order for UCI multiplexing among two TRPs is applied firstly, it cannot be feasible in case of non-ideal backhaul assumption for MDCI MTRP operation in reality. From the perspective of NW, non-ideal backhaul assumption is the more practical deployment of MDCI MTRP operation over ideal backhaul assumption</w:t>
      </w:r>
      <w:r>
        <w:rPr>
          <w:rFonts w:hint="eastAsia" w:eastAsia="宋体"/>
          <w:lang w:val="en-US" w:eastAsia="zh-CN"/>
        </w:rPr>
        <w:t>.</w:t>
      </w:r>
      <w:r>
        <w:rPr>
          <w:rFonts w:hint="eastAsia"/>
        </w:rPr>
        <w:t xml:space="preserve"> </w:t>
      </w:r>
      <w:r>
        <w:rPr>
          <w:rFonts w:hint="eastAsia" w:eastAsia="宋体"/>
          <w:lang w:val="en-US" w:eastAsia="zh-CN"/>
        </w:rPr>
        <w:t>H</w:t>
      </w:r>
      <w:r>
        <w:rPr>
          <w:rFonts w:hint="eastAsia"/>
        </w:rPr>
        <w:t xml:space="preserve">ence it is too challenging to facilitate UCI multiplexing </w:t>
      </w:r>
      <w:r>
        <w:rPr>
          <w:rFonts w:hint="eastAsia" w:eastAsia="宋体"/>
        </w:rPr>
        <w:t>in case that one PUCCH overlaps with MDCI based STxMP PUSCH + PUSCH in reality</w:t>
      </w:r>
      <w:r>
        <w:rPr>
          <w:rFonts w:hint="eastAsia"/>
        </w:rPr>
        <w:t>.</w:t>
      </w:r>
    </w:p>
    <w:p>
      <w:pPr>
        <w:numPr>
          <w:ilvl w:val="0"/>
          <w:numId w:val="25"/>
        </w:numPr>
        <w:spacing w:before="108" w:after="108"/>
      </w:pPr>
      <w:r>
        <w:rPr>
          <w:rFonts w:hint="eastAsia"/>
        </w:rPr>
        <w:t>For option 3, the rule of UCI multiplexing is distinguished for joint HARQ-ACK feedback and separate HARQ-ACK feedback.</w:t>
      </w:r>
    </w:p>
    <w:p>
      <w:pPr>
        <w:numPr>
          <w:ilvl w:val="1"/>
          <w:numId w:val="12"/>
        </w:numPr>
        <w:tabs>
          <w:tab w:val="clear" w:pos="840"/>
        </w:tabs>
        <w:spacing w:before="108" w:after="108"/>
      </w:pPr>
      <w:r>
        <w:rPr>
          <w:rFonts w:hint="eastAsia"/>
        </w:rPr>
        <w:t>For the case of joint HARQ-ACK feedback, one issue raised by company is that HARQ-ACK feedback will be multiplexed in CG PUSCH in case of MDCI based STxMP CG PUSCH + DG PUSCH, which deviates from the legacy PUSCH priority order that HARQ-ACK feedback should be multiplexed in DG PUSCH. However, given that the legacy UE cannot support STxMP UL transmission but MP-UE in Rel-18 is capable to transmit STxMP CG PUSCH + DG PUSCH, this restriction is not needed anymore. Hence this issue is not valid.</w:t>
      </w:r>
    </w:p>
    <w:p>
      <w:pPr>
        <w:numPr>
          <w:ilvl w:val="1"/>
          <w:numId w:val="12"/>
        </w:numPr>
        <w:tabs>
          <w:tab w:val="clear" w:pos="840"/>
        </w:tabs>
        <w:spacing w:before="108" w:after="108"/>
      </w:pPr>
      <w:r>
        <w:rPr>
          <w:rFonts w:hint="eastAsia"/>
        </w:rPr>
        <w:t>For the case of separate HARQ-ACK feedback, one issue raised by company is that PUCCH/PUSCH towards TRP1 cannot be overlapped with PUCCH/PUSCH towards TRP2. By instinct, this restriction is derivated from that the complexity of PUCCH/PUCCH transmission power within one panel of the legacy UE when non-ideal backhaul assumption among two TRPs and where PUCCH resources are shared between two TRPs due to RRC configuration. However, it is clear that MP-UE in Rel-18 could transmit PUCCH/PUSCH towards TRP1 and PUCCH/PUSCH towards TRP2 from two panels simultaneously, this restriction (a.k.a. the last second bullet FFS in the above agreement) is not needed in this sense. Hence this issue is not valid.</w:t>
      </w:r>
    </w:p>
    <w:p>
      <w:pPr>
        <w:numPr>
          <w:ilvl w:val="2"/>
          <w:numId w:val="12"/>
        </w:numPr>
        <w:tabs>
          <w:tab w:val="clear" w:pos="1260"/>
        </w:tabs>
        <w:spacing w:before="108" w:after="108"/>
      </w:pPr>
      <w:r>
        <w:rPr>
          <w:rFonts w:hint="eastAsia"/>
        </w:rPr>
        <w:t>When the UCI does not include HARQ-ACK (i.e., CSI and/or SR), there is no any restriction in legacy with respect to PUCCH/PUSCH towards TRP1 cannot be overlapped with PUCCH/PUSCH towards TRP2. Hence it is unreasonable to distinguish UCI multiplexing rule based on the configuration of joint or separate HARQ-ACK feedback.</w:t>
      </w:r>
    </w:p>
    <w:p>
      <w:pPr>
        <w:numPr>
          <w:ilvl w:val="1"/>
          <w:numId w:val="12"/>
        </w:numPr>
        <w:tabs>
          <w:tab w:val="clear" w:pos="840"/>
        </w:tabs>
        <w:spacing w:before="108" w:after="108"/>
      </w:pPr>
      <w:r>
        <w:rPr>
          <w:rFonts w:hint="eastAsia"/>
        </w:rPr>
        <w:t>Besides, it should be noticed that joint or separate HARQ-ACK feedback is not the direct indicator of non-ideal backhaul assumptions and ideal backhaul assumption. From the perspective of NW deployment, it is completely possible to configure either joint or separate HARQ-ACK feedback in case of ideal backhaul assumption of MDCI MTRP operation, that means the backhaul assumption cannot</w:t>
      </w:r>
      <w:r>
        <w:t xml:space="preserve"> be</w:t>
      </w:r>
      <w:r>
        <w:rPr>
          <w:rFonts w:hint="eastAsia"/>
        </w:rPr>
        <w:t xml:space="preserve"> derived from the configuration of HARQ-ACK feedback.</w:t>
      </w:r>
    </w:p>
    <w:p>
      <w:pPr>
        <w:spacing w:before="108" w:after="108"/>
      </w:pPr>
      <w:r>
        <w:rPr>
          <w:rFonts w:hint="eastAsia"/>
        </w:rPr>
        <w:t xml:space="preserve">In the light of the above elaboration, option 1 should be adopted to fulfill </w:t>
      </w:r>
      <w:r>
        <w:rPr>
          <w:rFonts w:hint="eastAsia" w:eastAsia="宋体"/>
        </w:rPr>
        <w:t xml:space="preserve">UCI multiplexing in case that one PUCCH overlaps with MDCI based STxMP PUSCH + PUSCH. </w:t>
      </w:r>
      <w:r>
        <w:rPr>
          <w:rFonts w:hint="eastAsia"/>
        </w:rPr>
        <w:t>Regarding the identifier of TRP, it is natural to use the value of CORESETPoolIndex for PUCCH and PUSCH according the previous agreement in RAN1#111 meeting in terms of MDCI based STxMP DG/CG PUSCH and also the outcome of AI 9.1.1.1 discussion.</w:t>
      </w:r>
    </w:p>
    <w:p>
      <w:pPr>
        <w:spacing w:before="108" w:after="108"/>
        <w:rPr>
          <w:rFonts w:eastAsia="宋体"/>
          <w:i/>
          <w:iCs/>
        </w:rPr>
      </w:pPr>
      <w:r>
        <w:rPr>
          <w:rFonts w:hint="eastAsia"/>
          <w:b/>
          <w:bCs/>
          <w:i/>
          <w:iCs/>
        </w:rPr>
        <w:t>Proposal 4:</w:t>
      </w:r>
      <w:r>
        <w:rPr>
          <w:rFonts w:hint="eastAsia"/>
          <w:i/>
          <w:iCs/>
        </w:rPr>
        <w:t xml:space="preserve"> </w:t>
      </w:r>
      <w:r>
        <w:rPr>
          <w:i/>
          <w:iCs/>
          <w:lang w:val="en-CA"/>
        </w:rPr>
        <w:t>For case that one PUCCH overlaps with two overlapped PUSCHs in multi-DCI based STxMP PUSCH+PUSCH,</w:t>
      </w:r>
      <w:r>
        <w:rPr>
          <w:rFonts w:hint="eastAsia" w:eastAsia="宋体"/>
          <w:i/>
          <w:iCs/>
        </w:rPr>
        <w:t xml:space="preserve"> </w:t>
      </w:r>
      <w:r>
        <w:rPr>
          <w:i/>
          <w:iCs/>
          <w:lang w:val="en-CA"/>
        </w:rPr>
        <w:t>the UCI is multiplexed into the PUSCH associated with the same</w:t>
      </w:r>
      <w:r>
        <w:rPr>
          <w:rStyle w:val="99"/>
          <w:i/>
          <w:iCs/>
          <w:lang w:val="en-CA"/>
        </w:rPr>
        <w:t> </w:t>
      </w:r>
      <w:r>
        <w:rPr>
          <w:i/>
          <w:iCs/>
          <w:lang w:val="en-CA"/>
        </w:rPr>
        <w:t>TRP. And among the PUSCHs associated with the same</w:t>
      </w:r>
      <w:r>
        <w:rPr>
          <w:rStyle w:val="99"/>
          <w:i/>
          <w:iCs/>
          <w:lang w:val="en-CA"/>
        </w:rPr>
        <w:t> </w:t>
      </w:r>
      <w:r>
        <w:rPr>
          <w:i/>
          <w:iCs/>
          <w:lang w:val="en-CA"/>
        </w:rPr>
        <w:t>TRP, the legacy PUSCH priority order for UCI multiplexing is applied.</w:t>
      </w:r>
      <w:r>
        <w:rPr>
          <w:rFonts w:hint="eastAsia" w:eastAsia="宋体"/>
          <w:i/>
          <w:iCs/>
        </w:rPr>
        <w:t xml:space="preserve"> (Option 1)</w:t>
      </w:r>
    </w:p>
    <w:p>
      <w:pPr>
        <w:pStyle w:val="51"/>
        <w:numPr>
          <w:ilvl w:val="0"/>
          <w:numId w:val="10"/>
        </w:numPr>
        <w:spacing w:before="108" w:after="108"/>
        <w:ind w:leftChars="0"/>
        <w:rPr>
          <w:rFonts w:eastAsia="宋体"/>
          <w:i/>
          <w:iCs/>
          <w:lang w:val="en-CA"/>
        </w:rPr>
      </w:pPr>
      <w:r>
        <w:rPr>
          <w:rFonts w:hint="eastAsia" w:eastAsia="宋体"/>
          <w:i/>
          <w:iCs/>
          <w:lang w:val="en-CA"/>
        </w:rPr>
        <w:t>The UCI is multiplexed in the PUSCH associated with the same coresetPool</w:t>
      </w:r>
      <w:r>
        <w:rPr>
          <w:rFonts w:hint="eastAsia" w:eastAsia="宋体"/>
          <w:i/>
          <w:iCs/>
          <w:lang w:val="en-US"/>
        </w:rPr>
        <w:t>I</w:t>
      </w:r>
      <w:r>
        <w:rPr>
          <w:rFonts w:hint="eastAsia" w:eastAsia="宋体"/>
          <w:i/>
          <w:iCs/>
          <w:lang w:val="en-CA"/>
        </w:rPr>
        <w:t>ndex value</w:t>
      </w:r>
      <w:r>
        <w:rPr>
          <w:rFonts w:hint="eastAsia" w:eastAsia="宋体"/>
          <w:i/>
          <w:iCs/>
          <w:lang w:val="en-US"/>
        </w:rPr>
        <w:t>.</w:t>
      </w:r>
    </w:p>
    <w:p>
      <w:pPr>
        <w:pStyle w:val="51"/>
        <w:numPr>
          <w:ilvl w:val="0"/>
          <w:numId w:val="10"/>
        </w:numPr>
        <w:spacing w:before="108" w:after="108"/>
        <w:ind w:leftChars="0"/>
        <w:rPr>
          <w:rFonts w:eastAsia="宋体"/>
          <w:i/>
          <w:iCs/>
          <w:lang w:val="en-CA"/>
        </w:rPr>
      </w:pPr>
      <w:r>
        <w:rPr>
          <w:rFonts w:hint="eastAsia" w:eastAsia="宋体"/>
          <w:i/>
          <w:iCs/>
          <w:lang w:val="en-US"/>
        </w:rPr>
        <w:t>W</w:t>
      </w:r>
      <w:r>
        <w:rPr>
          <w:rFonts w:hint="eastAsia" w:eastAsia="宋体"/>
          <w:i/>
          <w:iCs/>
          <w:lang w:val="en-CA"/>
        </w:rPr>
        <w:t>hen separate HARQ feedback is configured, a PUCCH transmission triggered by DCI associated with one coresetPoolIndex can overlap in time with a PUSCH transmission triggered by DCI associated with another coresetPoolIndex</w:t>
      </w:r>
      <w:r>
        <w:rPr>
          <w:rFonts w:hint="eastAsia" w:eastAsia="宋体"/>
          <w:i/>
          <w:iCs/>
          <w:lang w:val="en-US"/>
        </w:rPr>
        <w:t>.</w:t>
      </w:r>
    </w:p>
    <w:p>
      <w:pPr>
        <w:pStyle w:val="3"/>
        <w:spacing w:before="360" w:beforeLines="100" w:after="180"/>
        <w:ind w:left="431" w:hanging="431"/>
        <w:rPr>
          <w:lang w:val="en-US"/>
        </w:rPr>
      </w:pPr>
      <w:r>
        <w:rPr>
          <w:rFonts w:hint="eastAsia"/>
          <w:lang w:val="en-US"/>
        </w:rPr>
        <w:t>Group based beam reporting for STxMP transmission</w:t>
      </w:r>
    </w:p>
    <w:p>
      <w:pPr>
        <w:spacing w:before="108" w:after="108"/>
      </w:pPr>
      <w:r>
        <w:rPr>
          <w:rFonts w:hint="eastAsia"/>
        </w:rPr>
        <w:t>Regarding how to indicate the gNB that the UE is able or disable to transmit PUSCH+PUSCH simultaneously with two UL beams, the following agreement was endorsed in RAN1#112b-e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Style w:val="30"/>
                <w:rFonts w:eastAsia="Malgun Gothic" w:cs="Times"/>
                <w:szCs w:val="20"/>
                <w:highlight w:val="none"/>
                <w:u w:val="single"/>
              </w:rPr>
            </w:pPr>
            <w:r>
              <w:rPr>
                <w:rStyle w:val="30"/>
                <w:rFonts w:cs="Times"/>
                <w:color w:val="000000"/>
                <w:szCs w:val="20"/>
                <w:highlight w:val="none"/>
                <w:u w:val="single"/>
              </w:rPr>
              <w:t>Agreement</w:t>
            </w:r>
          </w:p>
          <w:p>
            <w:pPr>
              <w:spacing w:before="108" w:after="108"/>
              <w:rPr>
                <w:rFonts w:cs="Times"/>
                <w:b/>
                <w:szCs w:val="20"/>
              </w:rPr>
            </w:pPr>
            <w:r>
              <w:rPr>
                <w:rStyle w:val="30"/>
                <w:rFonts w:cs="Times"/>
                <w:b w:val="0"/>
                <w:szCs w:val="20"/>
              </w:rPr>
              <w:t>Enhance the Rel-17 group-based beam L1-RSRP reporting to support STxMP-based transmission and down-select one in RAN1#113 meeting:</w:t>
            </w:r>
          </w:p>
          <w:p>
            <w:pPr>
              <w:numPr>
                <w:ilvl w:val="0"/>
                <w:numId w:val="26"/>
              </w:numPr>
              <w:spacing w:before="108" w:after="108"/>
              <w:rPr>
                <w:rFonts w:cs="Times"/>
                <w:b/>
                <w:szCs w:val="20"/>
              </w:rPr>
            </w:pPr>
            <w:r>
              <w:rPr>
                <w:rStyle w:val="30"/>
                <w:rFonts w:cs="Times"/>
                <w:b w:val="0"/>
                <w:szCs w:val="20"/>
              </w:rPr>
              <w:t>Alt1: In each reported pair of CRIs or SSBRIs, the UL Tx spatial filters determined from the reported pair of CRIs or SSBRIs can be applied simultaneously, and the reported pair of CRIs or SSBRIs can be received simultaneously.</w:t>
            </w:r>
          </w:p>
          <w:p>
            <w:pPr>
              <w:numPr>
                <w:ilvl w:val="0"/>
                <w:numId w:val="26"/>
              </w:numPr>
              <w:spacing w:before="108" w:after="108"/>
              <w:rPr>
                <w:rFonts w:cs="Times"/>
                <w:b/>
                <w:szCs w:val="20"/>
              </w:rPr>
            </w:pPr>
            <w:r>
              <w:rPr>
                <w:rStyle w:val="30"/>
                <w:rFonts w:cs="Times"/>
                <w:b w:val="0"/>
                <w:szCs w:val="20"/>
              </w:rPr>
              <w:t>Alt2: In each reported pair of CRIs or SSBRIs, the UL Tx spatial filters determined from the reported pair of CRIs or SSBRIs can be applied simultaneously.</w:t>
            </w:r>
          </w:p>
          <w:p>
            <w:pPr>
              <w:numPr>
                <w:ilvl w:val="0"/>
                <w:numId w:val="26"/>
              </w:numPr>
              <w:spacing w:before="108" w:after="108"/>
              <w:rPr>
                <w:rFonts w:cs="Times"/>
                <w:b/>
                <w:szCs w:val="20"/>
              </w:rPr>
            </w:pPr>
            <w:r>
              <w:rPr>
                <w:rStyle w:val="30"/>
                <w:rFonts w:cs="Times"/>
                <w:b w:val="0"/>
                <w:szCs w:val="20"/>
              </w:rPr>
              <w:t>Alt3:</w:t>
            </w:r>
            <w:r>
              <w:rPr>
                <w:rStyle w:val="99"/>
                <w:rFonts w:cs="Times"/>
                <w:b/>
                <w:bCs/>
                <w:szCs w:val="20"/>
              </w:rPr>
              <w:t> </w:t>
            </w:r>
            <w:r>
              <w:rPr>
                <w:rStyle w:val="30"/>
                <w:rFonts w:cs="Times"/>
                <w:b w:val="0"/>
                <w:szCs w:val="20"/>
              </w:rPr>
              <w:t>In each reported pair of CRIs or SSBRIs, UE indicates if the UL Tx spatial filters determined from the reported pair of CRIs or SSBRIs can be applied simultaneously, and/or if the reported pair of CRIs or SSBRIs can be received simultaneously. </w:t>
            </w:r>
            <w:r>
              <w:rPr>
                <w:rStyle w:val="99"/>
                <w:rFonts w:cs="Times"/>
                <w:b/>
                <w:bCs/>
                <w:szCs w:val="20"/>
              </w:rPr>
              <w:t> </w:t>
            </w:r>
            <w:r>
              <w:rPr>
                <w:rFonts w:cs="Times"/>
                <w:b/>
                <w:szCs w:val="20"/>
              </w:rPr>
              <w:t xml:space="preserve"> </w:t>
            </w:r>
          </w:p>
          <w:p>
            <w:pPr>
              <w:numPr>
                <w:ilvl w:val="1"/>
                <w:numId w:val="26"/>
              </w:numPr>
              <w:spacing w:before="108" w:after="108"/>
            </w:pPr>
            <w:r>
              <w:rPr>
                <w:rStyle w:val="30"/>
                <w:rFonts w:cs="Times"/>
                <w:b w:val="0"/>
                <w:szCs w:val="20"/>
              </w:rPr>
              <w:t>FFS: Introduce an indicator to support the above, and the number of bits and interpretation of each codepoint of the indicator</w:t>
            </w:r>
          </w:p>
        </w:tc>
      </w:tr>
    </w:tbl>
    <w:p>
      <w:pPr>
        <w:spacing w:before="108" w:after="108"/>
      </w:pPr>
      <w:r>
        <w:rPr>
          <w:rFonts w:hint="eastAsia" w:eastAsia="宋体"/>
        </w:rPr>
        <w:t>Three alternatives were raised to address this issue, the analyses of each are provided as follows:</w:t>
      </w:r>
    </w:p>
    <w:p>
      <w:pPr>
        <w:numPr>
          <w:ilvl w:val="0"/>
          <w:numId w:val="25"/>
        </w:numPr>
        <w:spacing w:before="108" w:after="108"/>
      </w:pPr>
      <w:r>
        <w:rPr>
          <w:rFonts w:hint="eastAsia"/>
        </w:rPr>
        <w:t>On Alt 1, it arbitrarily requires that the beam pairs transmitted simultaneously should also be received simultaneously from two panels in UE side. Subsequently, there are two issues in front of this alternative: i. it will cause the waste of UL Tx beam pair resources due to that must be derivated from the beam pairs that can be received simultaneously; ii. it will cause the waste of DL Rx beam pair resources due to that must be derivated from the beam pairs that can be transmitted simultaneously.</w:t>
      </w:r>
    </w:p>
    <w:p>
      <w:pPr>
        <w:numPr>
          <w:ilvl w:val="0"/>
          <w:numId w:val="25"/>
        </w:numPr>
        <w:spacing w:before="108" w:after="108"/>
      </w:pPr>
      <w:r>
        <w:rPr>
          <w:rFonts w:hint="eastAsia"/>
        </w:rPr>
        <w:t>On Alt 2, it is somehow the similar to Alt 1 and will meet exactly the same issues. Besides, as per opponent</w:t>
      </w:r>
      <w:r>
        <w:t>’</w:t>
      </w:r>
      <w:r>
        <w:rPr>
          <w:rFonts w:hint="eastAsia"/>
        </w:rPr>
        <w:t>s comments in the last meeting, Alt 2 aims to reach out a brand-new group-based beam reporting for UL Tx beam pairs exclusively. In this sense, A</w:t>
      </w:r>
      <w:r>
        <w:rPr>
          <w:rFonts w:hint="eastAsia" w:eastAsia="等线"/>
        </w:rPr>
        <w:t xml:space="preserve">lt 2 </w:t>
      </w:r>
      <w:r>
        <w:rPr>
          <w:rFonts w:eastAsia="等线"/>
        </w:rPr>
        <w:t xml:space="preserve">requires separate group-based beam report configurations and reporting for </w:t>
      </w:r>
      <w:r>
        <w:rPr>
          <w:rFonts w:hint="eastAsia" w:eastAsia="等线"/>
        </w:rPr>
        <w:t xml:space="preserve">DL Rx </w:t>
      </w:r>
      <w:r>
        <w:rPr>
          <w:rFonts w:eastAsia="等线"/>
        </w:rPr>
        <w:t xml:space="preserve">and </w:t>
      </w:r>
      <w:r>
        <w:rPr>
          <w:rFonts w:hint="eastAsia" w:eastAsia="等线"/>
        </w:rPr>
        <w:t>UL Tx</w:t>
      </w:r>
      <w:r>
        <w:rPr>
          <w:rFonts w:eastAsia="等线"/>
        </w:rPr>
        <w:t>, which increases the overhead</w:t>
      </w:r>
      <w:r>
        <w:rPr>
          <w:rFonts w:hint="eastAsia" w:eastAsia="等线"/>
        </w:rPr>
        <w:t xml:space="preserve"> and also introduce additional specification effort but is deemed unnecessary</w:t>
      </w:r>
      <w:r>
        <w:rPr>
          <w:rFonts w:eastAsia="等线"/>
        </w:rPr>
        <w:t>.</w:t>
      </w:r>
    </w:p>
    <w:p>
      <w:pPr>
        <w:numPr>
          <w:ilvl w:val="0"/>
          <w:numId w:val="25"/>
        </w:numPr>
        <w:spacing w:before="108" w:after="108"/>
      </w:pPr>
      <w:r>
        <w:rPr>
          <w:rFonts w:hint="eastAsia"/>
        </w:rPr>
        <w:t xml:space="preserve">On Alt 3, it is good to facilitate </w:t>
      </w:r>
      <w:r>
        <w:t xml:space="preserve">the report of </w:t>
      </w:r>
      <w:r>
        <w:rPr>
          <w:rFonts w:hint="eastAsia"/>
        </w:rPr>
        <w:t>UL Tx beam pairs for Rel-18 STxMP UL transmission under the design of Rel-17 group-based beam reporting. In this way, two states of beam pairs with respect to beam management can be reported: i. Beam pairs for UL Tx and DL Rx simultaneously (the enhancement on top of Rel-17 design); ii. Beam pairs for DL Rx only (the legacy Rel-17 design). Furthermore, the introduced indicator is used to indicate these two states of beam pairs.</w:t>
      </w:r>
    </w:p>
    <w:p>
      <w:pPr>
        <w:spacing w:before="108" w:after="108"/>
      </w:pPr>
      <w:r>
        <w:rPr>
          <w:rFonts w:hint="eastAsia"/>
        </w:rPr>
        <w:t>In the light of the above elaboration, Alt 3 should be adopted to facilitate UL Tx beam pair reporting for Rel-18 STxMP UL transmission under Rel-17 group-based beam reporting</w:t>
      </w:r>
      <w:r>
        <w:rPr>
          <w:rFonts w:hint="eastAsia" w:eastAsia="宋体"/>
        </w:rPr>
        <w:t>.</w:t>
      </w:r>
    </w:p>
    <w:p>
      <w:pPr>
        <w:spacing w:before="108" w:after="108"/>
        <w:rPr>
          <w:rFonts w:eastAsia="宋体"/>
          <w:i/>
          <w:iCs/>
        </w:rPr>
      </w:pPr>
      <w:r>
        <w:rPr>
          <w:rFonts w:hint="eastAsia"/>
          <w:b/>
          <w:bCs/>
          <w:i/>
          <w:iCs/>
        </w:rPr>
        <w:t xml:space="preserve">Proposal 5: </w:t>
      </w:r>
      <w:r>
        <w:rPr>
          <w:rStyle w:val="30"/>
          <w:rFonts w:cs="Times"/>
          <w:b w:val="0"/>
          <w:i/>
          <w:iCs/>
          <w:szCs w:val="20"/>
        </w:rPr>
        <w:t>Regarding enhancement on the Rel-17 group-based beam L1-RSRP reporting to support STxMP-based transmission, in each reported pair of CRIs or SSBRIs, UE indicates if the UL Tx spatial filters determined from the reported pair of CRIs or SSBRIs can be applied simultaneously, and/or if the reported pair of CRIs or SSBRIs can be received simultaneously.</w:t>
      </w:r>
      <w:r>
        <w:rPr>
          <w:rStyle w:val="30"/>
          <w:rFonts w:hint="eastAsia" w:eastAsia="宋体" w:cs="Times"/>
          <w:b w:val="0"/>
          <w:i/>
          <w:iCs/>
          <w:szCs w:val="20"/>
        </w:rPr>
        <w:t xml:space="preserve"> </w:t>
      </w:r>
      <w:r>
        <w:rPr>
          <w:rFonts w:hint="eastAsia" w:eastAsia="宋体"/>
          <w:i/>
          <w:iCs/>
        </w:rPr>
        <w:t>(Alt 3)</w:t>
      </w:r>
    </w:p>
    <w:p>
      <w:pPr>
        <w:pStyle w:val="51"/>
        <w:numPr>
          <w:ilvl w:val="0"/>
          <w:numId w:val="10"/>
        </w:numPr>
        <w:spacing w:before="108" w:after="108"/>
        <w:ind w:leftChars="0"/>
        <w:rPr>
          <w:rFonts w:eastAsia="宋体"/>
          <w:i/>
          <w:iCs/>
          <w:lang w:val="en-CA"/>
        </w:rPr>
      </w:pPr>
      <w:r>
        <w:rPr>
          <w:rStyle w:val="30"/>
          <w:rFonts w:cs="Times"/>
          <w:b w:val="0"/>
          <w:i/>
          <w:iCs/>
          <w:szCs w:val="20"/>
        </w:rPr>
        <w:t>Introduce an indicator to</w:t>
      </w:r>
      <w:r>
        <w:rPr>
          <w:rStyle w:val="30"/>
          <w:rFonts w:hint="eastAsia" w:eastAsia="宋体" w:cs="Times"/>
          <w:b w:val="0"/>
          <w:i/>
          <w:iCs/>
          <w:szCs w:val="20"/>
          <w:lang w:val="en-US"/>
        </w:rPr>
        <w:t xml:space="preserve"> indicate the following states:</w:t>
      </w:r>
    </w:p>
    <w:p>
      <w:pPr>
        <w:pStyle w:val="51"/>
        <w:numPr>
          <w:ilvl w:val="1"/>
          <w:numId w:val="10"/>
        </w:numPr>
        <w:spacing w:before="108" w:after="108"/>
        <w:ind w:leftChars="0"/>
        <w:rPr>
          <w:rFonts w:eastAsia="宋体"/>
          <w:i/>
          <w:iCs/>
          <w:lang w:val="en-CA"/>
        </w:rPr>
      </w:pPr>
      <w:r>
        <w:rPr>
          <w:rStyle w:val="30"/>
          <w:rFonts w:hint="eastAsia" w:eastAsia="宋体" w:cs="Times"/>
          <w:b w:val="0"/>
          <w:i/>
          <w:iCs/>
          <w:szCs w:val="20"/>
          <w:lang w:val="en-US"/>
        </w:rPr>
        <w:t>State 1: B</w:t>
      </w:r>
      <w:r>
        <w:rPr>
          <w:rFonts w:hint="eastAsia"/>
          <w:i/>
          <w:iCs/>
          <w:lang w:val="en-US"/>
        </w:rPr>
        <w:t>eam pairs for UL Tx and DL Rx simultaneously.</w:t>
      </w:r>
    </w:p>
    <w:p>
      <w:pPr>
        <w:pStyle w:val="51"/>
        <w:numPr>
          <w:ilvl w:val="1"/>
          <w:numId w:val="10"/>
        </w:numPr>
        <w:spacing w:before="108" w:after="108"/>
        <w:ind w:leftChars="0"/>
        <w:rPr>
          <w:i/>
          <w:iCs/>
          <w:lang w:val="en-US"/>
        </w:rPr>
      </w:pPr>
      <w:r>
        <w:rPr>
          <w:rFonts w:hint="eastAsia"/>
          <w:i/>
          <w:iCs/>
          <w:lang w:val="en-US"/>
        </w:rPr>
        <w:t>State 2: Beam pairs for DL Rx only.</w:t>
      </w:r>
    </w:p>
    <w:p>
      <w:pPr>
        <w:pStyle w:val="3"/>
        <w:spacing w:before="360" w:beforeLines="100" w:after="180"/>
        <w:ind w:left="431" w:hanging="431"/>
      </w:pPr>
      <w:r>
        <w:rPr>
          <w:rFonts w:hint="eastAsia"/>
          <w:lang w:val="en-US"/>
        </w:rPr>
        <w:t>DMRS sequence initialization</w:t>
      </w:r>
    </w:p>
    <w:p>
      <w:pPr>
        <w:spacing w:before="108" w:after="108"/>
      </w:pPr>
      <w:r>
        <w:rPr>
          <w:rFonts w:hint="eastAsia"/>
        </w:rPr>
        <w:t xml:space="preserve">In Rel-15/16, DMRS initialization ID (which denoted as </w:t>
      </w:r>
      <w:r>
        <w:rPr>
          <w:rFonts w:hint="eastAsia"/>
          <w:i/>
          <w:iCs/>
        </w:rPr>
        <w:t>n</w:t>
      </w:r>
      <w:r>
        <w:rPr>
          <w:rFonts w:hint="eastAsia"/>
          <w:vertAlign w:val="subscript"/>
        </w:rPr>
        <w:t>SCID</w:t>
      </w:r>
      <w:r>
        <w:rPr>
          <w:rFonts w:hint="eastAsia"/>
        </w:rPr>
        <w:t>) is used to guarantee the resulting DMRS generated from pseudo-random sequence to be orthogonal</w:t>
      </w:r>
      <w:r>
        <w:rPr>
          <w:rFonts w:hint="eastAsia" w:eastAsia="宋体"/>
        </w:rPr>
        <w:t xml:space="preserve"> within a CDM group</w:t>
      </w:r>
      <w:r>
        <w:rPr>
          <w:rFonts w:hint="eastAsia"/>
        </w:rPr>
        <w:t>, which is similar to the virtual cell ID in LTE. If the underlying pseudo-random sequence would differ between different co-scheduled UEs, the resulting DMRSs would not be orthogonal.</w:t>
      </w:r>
    </w:p>
    <w:p>
      <w:pPr>
        <w:spacing w:before="108" w:after="108"/>
        <w:rPr>
          <w:rFonts w:eastAsia="宋体"/>
        </w:rPr>
      </w:pPr>
      <w:r>
        <w:rPr>
          <w:rFonts w:hint="eastAsia" w:eastAsia="宋体"/>
        </w:rPr>
        <w:t xml:space="preserve">With respect to PUSCH DMRS, it can be noted that </w:t>
      </w:r>
      <w:r>
        <w:rPr>
          <w:i/>
          <w:iCs/>
        </w:rPr>
        <w:t>DMRS-UplinkConfig</w:t>
      </w:r>
      <w:r>
        <w:rPr>
          <w:rFonts w:hint="eastAsia" w:eastAsia="宋体"/>
        </w:rPr>
        <w:t xml:space="preserve"> in </w:t>
      </w:r>
      <w:r>
        <w:rPr>
          <w:rFonts w:hint="eastAsia" w:eastAsia="宋体"/>
          <w:i/>
          <w:iCs/>
        </w:rPr>
        <w:t>PUSCH-config</w:t>
      </w:r>
      <w:r>
        <w:rPr>
          <w:rFonts w:hint="eastAsia" w:eastAsia="宋体"/>
        </w:rPr>
        <w:t xml:space="preserve"> is applicable to a particular BWP for all PUSCHs within a serving cell, in which </w:t>
      </w:r>
      <w:r>
        <w:rPr>
          <w:rFonts w:hint="eastAsia"/>
        </w:rPr>
        <w:t>DMRS initialization ID</w:t>
      </w:r>
      <w:r>
        <w:rPr>
          <w:rFonts w:hint="eastAsia" w:eastAsia="宋体"/>
        </w:rPr>
        <w:t xml:space="preserve"> is shared among two TRPs. For MDCI based STxMP PUSCH+PUSCH, it is possible that PUSCH transmissions toward to different TRPs are indicated with the same DMRS ports by two independent DCIs because of the unawareness of MDCI MTRP operation with non-ideal backhaul assumption. Subsequently, the performance of PUSCH DMRS demodulation of the target TRP will be degraded by the interference from PUSCH DMRS with same sequence of the other TRP.</w:t>
      </w:r>
    </w:p>
    <w:p>
      <w:pPr>
        <w:spacing w:before="108" w:after="108"/>
        <w:rPr>
          <w:rFonts w:eastAsia="宋体"/>
        </w:rPr>
      </w:pPr>
      <w:r>
        <w:rPr>
          <w:rFonts w:hint="eastAsia" w:eastAsia="宋体"/>
        </w:rPr>
        <w:t xml:space="preserve">To address this issue, one simple and straightforward way is to specify that the </w:t>
      </w:r>
      <w:r>
        <w:rPr>
          <w:rFonts w:hint="eastAsia"/>
        </w:rPr>
        <w:t>initialization ID</w:t>
      </w:r>
      <w:r>
        <w:rPr>
          <w:rFonts w:hint="eastAsia" w:eastAsia="宋体"/>
        </w:rPr>
        <w:t xml:space="preserve"> of PUSCH DMRS is mandatory to be different among two TRPs. Given that it was agreed to use two SRS resource sets associated with coresetPoolIndex value 0 and 1 respectively for DG PUSCH + DG PUSCH, CG PUSCH + DG PUSCH and CG PUSCH + CG PUSCH, it can be DMRS initialization ID of PUSCH associated with different values of coresetPoolIndex should be different. For example, DMRS initialization ID of PUSCH associated with coresetPoolIndex value 0 is set to 0 and DMRS initialization ID of PUSCH associated with coresetPoolIndex value 1 is set to 1, or vice versa.</w:t>
      </w:r>
    </w:p>
    <w:p>
      <w:pPr>
        <w:spacing w:before="108" w:after="108"/>
        <w:rPr>
          <w:rFonts w:eastAsia="宋体"/>
          <w:i/>
          <w:iCs/>
        </w:rPr>
      </w:pPr>
      <w:r>
        <w:rPr>
          <w:rFonts w:hint="eastAsia"/>
          <w:b/>
          <w:bCs/>
          <w:i/>
          <w:iCs/>
        </w:rPr>
        <w:t xml:space="preserve">Proposal 6: </w:t>
      </w:r>
      <w:r>
        <w:rPr>
          <w:rStyle w:val="30"/>
          <w:rFonts w:hint="eastAsia" w:eastAsia="宋体" w:cs="Times"/>
          <w:b w:val="0"/>
          <w:i/>
          <w:iCs/>
          <w:szCs w:val="20"/>
        </w:rPr>
        <w:t xml:space="preserve">For MDCI based STxMP PUSCH+PUSCH, support to specify that </w:t>
      </w:r>
      <w:r>
        <w:rPr>
          <w:rFonts w:hint="eastAsia" w:eastAsia="宋体"/>
          <w:i/>
          <w:iCs/>
        </w:rPr>
        <w:t>DMRS initialization ID of PUSCH associated with different values of coresetPoolIndex should be different.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szCs w:val="20"/>
        </w:rPr>
        <w:t>provide our views on simultaneous UL transmission across multi-panel to MTRP in Rel-18. We have the following observations and proposals:</w:t>
      </w:r>
    </w:p>
    <w:p>
      <w:pPr>
        <w:spacing w:before="108" w:after="108"/>
        <w:rPr>
          <w:i/>
          <w:iCs/>
          <w:szCs w:val="20"/>
        </w:rPr>
      </w:pPr>
      <w:r>
        <w:rPr>
          <w:rFonts w:hint="eastAsia" w:eastAsia="宋体"/>
          <w:b/>
          <w:bCs/>
          <w:i/>
          <w:iCs/>
        </w:rPr>
        <w:t>Observation 1:</w:t>
      </w:r>
      <w:r>
        <w:rPr>
          <w:rFonts w:hint="eastAsia" w:eastAsia="宋体"/>
          <w:i/>
          <w:iCs/>
        </w:rPr>
        <w:t xml:space="preserve"> From the perspective of DCI overhead in terms of the sum of SRI/TPMI field size, the ascending order of Alts 1-4 is: </w:t>
      </w:r>
      <w:r>
        <w:rPr>
          <w:rFonts w:hint="eastAsia"/>
          <w:i/>
          <w:iCs/>
          <w:szCs w:val="20"/>
        </w:rPr>
        <w:t xml:space="preserve">Alt 2 = Alt 3 ≤ Alt 1 ≤ Alt 4. Furthermore, just in limited cases, the sum of </w:t>
      </w:r>
      <w:r>
        <w:rPr>
          <w:rFonts w:hint="eastAsia" w:eastAsia="宋体"/>
          <w:i/>
          <w:iCs/>
        </w:rPr>
        <w:t xml:space="preserve">SRI/TPMI field size </w:t>
      </w:r>
      <w:r>
        <w:rPr>
          <w:rFonts w:hint="eastAsia"/>
          <w:i/>
          <w:iCs/>
          <w:szCs w:val="20"/>
        </w:rPr>
        <w:t>of Alts 1-3 can be smaller than that of Alt 4.</w:t>
      </w:r>
    </w:p>
    <w:p>
      <w:pPr>
        <w:spacing w:before="108" w:after="108"/>
        <w:rPr>
          <w:rFonts w:eastAsia="宋体"/>
          <w:i/>
          <w:iCs/>
        </w:rPr>
      </w:pPr>
      <w:r>
        <w:rPr>
          <w:rFonts w:hint="eastAsia" w:eastAsia="宋体"/>
          <w:b/>
          <w:bCs/>
          <w:i/>
          <w:iCs/>
        </w:rPr>
        <w:t>Observation 2:</w:t>
      </w:r>
      <w:r>
        <w:rPr>
          <w:rFonts w:hint="eastAsia" w:eastAsia="宋体"/>
          <w:i/>
          <w:iCs/>
        </w:rPr>
        <w:t xml:space="preserve"> From the perspective of specification effort in terms of the consistency and simplicity with the existing specification, the ascending order of Alts 1-4 is: </w:t>
      </w:r>
      <w:r>
        <w:rPr>
          <w:rFonts w:hint="eastAsia"/>
          <w:i/>
          <w:iCs/>
          <w:szCs w:val="20"/>
        </w:rPr>
        <w:t>Alt 4 ≤ Alt 1 ≤ Alt 2 = Alt 3.</w:t>
      </w:r>
    </w:p>
    <w:p>
      <w:pPr>
        <w:spacing w:before="108" w:after="108"/>
        <w:rPr>
          <w:rFonts w:eastAsia="宋体"/>
          <w:b/>
          <w:bCs/>
          <w:i/>
          <w:iCs/>
        </w:rPr>
      </w:pPr>
      <w:r>
        <w:rPr>
          <w:rFonts w:eastAsia="宋体"/>
          <w:b/>
          <w:bCs/>
          <w:i/>
          <w:iCs/>
        </w:rPr>
        <w:t xml:space="preserve">Observation </w:t>
      </w:r>
      <w:r>
        <w:rPr>
          <w:rFonts w:hint="eastAsia" w:eastAsia="宋体"/>
          <w:b/>
          <w:bCs/>
          <w:i/>
          <w:iCs/>
        </w:rPr>
        <w:t>3</w:t>
      </w:r>
      <w:r>
        <w:rPr>
          <w:rFonts w:eastAsia="宋体"/>
          <w:i/>
          <w:iCs/>
        </w:rPr>
        <w:t xml:space="preserve">: The total number of used PUSCH antenna ports between SDM and sTRP can be the same or different, </w:t>
      </w:r>
      <w:r>
        <w:rPr>
          <w:rFonts w:hint="eastAsia" w:eastAsia="宋体"/>
          <w:i/>
          <w:iCs/>
        </w:rPr>
        <w:t>which is irrelevant to</w:t>
      </w:r>
      <w:r>
        <w:rPr>
          <w:rFonts w:eastAsia="宋体"/>
          <w:i/>
          <w:iCs/>
        </w:rPr>
        <w:t xml:space="preserve"> the digital ports among panels are shared or separate.</w:t>
      </w:r>
    </w:p>
    <w:p>
      <w:pPr>
        <w:spacing w:before="108" w:after="108"/>
        <w:rPr>
          <w:b/>
          <w:bCs/>
          <w:i/>
          <w:iCs/>
        </w:rPr>
      </w:pPr>
      <w:r>
        <w:rPr>
          <w:rFonts w:eastAsia="宋体"/>
          <w:b/>
          <w:bCs/>
          <w:i/>
          <w:iCs/>
        </w:rPr>
        <w:t xml:space="preserve">Proposal 1: </w:t>
      </w:r>
      <w:r>
        <w:rPr>
          <w:rFonts w:eastAsia="宋体"/>
          <w:i/>
          <w:iCs/>
        </w:rPr>
        <w:t>Support that t</w:t>
      </w:r>
      <w:r>
        <w:rPr>
          <w:i/>
          <w:iCs/>
          <w:szCs w:val="20"/>
          <w:lang w:val="en-CA"/>
        </w:rPr>
        <w:t>he codepoints of “SRS resource set indicator” in DCI for dynamic switching between STxMP SDM</w:t>
      </w:r>
      <w:r>
        <w:rPr>
          <w:rFonts w:hint="eastAsia"/>
          <w:i/>
          <w:iCs/>
          <w:szCs w:val="20"/>
        </w:rPr>
        <w:t xml:space="preserve"> </w:t>
      </w:r>
      <w:r>
        <w:rPr>
          <w:i/>
          <w:iCs/>
          <w:szCs w:val="20"/>
          <w:lang w:val="en-CA"/>
        </w:rPr>
        <w:t>and sTRP transmission are interpreted and the SRI/TPMI fields are designed as follows:</w:t>
      </w:r>
    </w:p>
    <w:p>
      <w:pPr>
        <w:pStyle w:val="51"/>
        <w:numPr>
          <w:ilvl w:val="0"/>
          <w:numId w:val="10"/>
        </w:numPr>
        <w:spacing w:before="108" w:after="108"/>
        <w:ind w:leftChars="0"/>
        <w:rPr>
          <w:rFonts w:ascii="Times New Roman" w:hAnsi="Times New Roman"/>
          <w:i/>
          <w:iCs/>
          <w:szCs w:val="20"/>
          <w:lang w:val="en-CA"/>
        </w:rPr>
      </w:pPr>
      <w:r>
        <w:rPr>
          <w:rFonts w:ascii="Times New Roman" w:hAnsi="Times New Roman"/>
          <w:i/>
          <w:iCs/>
          <w:szCs w:val="20"/>
          <w:lang w:val="en-CA"/>
        </w:rPr>
        <w:t xml:space="preserve">The codepoints 00 and 01 indicate sTRP transmission. 00 </w:t>
      </w:r>
      <w:r>
        <w:rPr>
          <w:rFonts w:ascii="Times New Roman" w:hAnsi="Times New Roman"/>
          <w:i/>
          <w:iCs/>
          <w:szCs w:val="20"/>
        </w:rPr>
        <w:t>indicates</w:t>
      </w:r>
      <w:r>
        <w:rPr>
          <w:rFonts w:ascii="Times New Roman" w:hAnsi="Times New Roman"/>
          <w:i/>
          <w:iCs/>
          <w:szCs w:val="20"/>
          <w:lang w:val="en-CA"/>
        </w:rPr>
        <w:t xml:space="preserve"> the first SRS resource set and 01 indicates the second SRS resource set. For SRI/TPMI field design, </w:t>
      </w:r>
      <w:r>
        <w:rPr>
          <w:rFonts w:ascii="Times New Roman" w:hAnsi="Times New Roman"/>
          <w:i/>
          <w:iCs/>
          <w:szCs w:val="20"/>
          <w:lang w:val="en-US"/>
        </w:rPr>
        <w:t>support that</w:t>
      </w:r>
      <w:r>
        <w:rPr>
          <w:rFonts w:ascii="Times New Roman" w:hAnsi="Times New Roman"/>
          <w:i/>
          <w:iCs/>
          <w:szCs w:val="20"/>
          <w:lang w:val="en-CA"/>
        </w:rPr>
        <w:t>:</w:t>
      </w:r>
    </w:p>
    <w:p>
      <w:pPr>
        <w:pStyle w:val="51"/>
        <w:numPr>
          <w:ilvl w:val="1"/>
          <w:numId w:val="10"/>
        </w:numPr>
        <w:spacing w:before="108" w:after="108"/>
        <w:ind w:leftChars="0"/>
        <w:rPr>
          <w:rFonts w:ascii="Times New Roman" w:hAnsi="Times New Roman"/>
          <w:i/>
          <w:iCs/>
          <w:szCs w:val="20"/>
        </w:rPr>
      </w:pPr>
      <w:r>
        <w:rPr>
          <w:rFonts w:ascii="Times New Roman" w:hAnsi="Times New Roman"/>
          <w:i/>
          <w:iCs/>
          <w:szCs w:val="20"/>
        </w:rPr>
        <w:t>Alt4</w:t>
      </w:r>
      <w:r>
        <w:rPr>
          <w:rFonts w:ascii="Times New Roman" w:hAnsi="Times New Roman"/>
          <w:i/>
          <w:iCs/>
          <w:szCs w:val="20"/>
          <w:lang w:val="en-US"/>
        </w:rPr>
        <w:t xml:space="preserve"> (first priority)</w:t>
      </w:r>
      <w:r>
        <w:rPr>
          <w:rFonts w:ascii="Times New Roman" w:hAnsi="Times New Roman"/>
          <w:i/>
          <w:iCs/>
          <w:szCs w:val="20"/>
        </w:rPr>
        <w:t>: the DCI has two SRI fields and two TPMI fields.</w:t>
      </w:r>
    </w:p>
    <w:p>
      <w:pPr>
        <w:pStyle w:val="51"/>
        <w:numPr>
          <w:ilvl w:val="2"/>
          <w:numId w:val="10"/>
        </w:numPr>
        <w:spacing w:before="108" w:after="108"/>
        <w:ind w:leftChars="0"/>
        <w:rPr>
          <w:rFonts w:ascii="Times New Roman" w:hAnsi="Times New Roman"/>
          <w:i/>
          <w:iCs/>
          <w:szCs w:val="20"/>
        </w:rPr>
      </w:pPr>
      <w:r>
        <w:rPr>
          <w:rFonts w:ascii="Times New Roman" w:hAnsi="Times New Roman"/>
          <w:i/>
          <w:iCs/>
          <w:szCs w:val="20"/>
        </w:rPr>
        <w:t xml:space="preserve">When the codepoint is 00, the first SRI field and first TPMI field are associated with the first SRS resource set. The second SRI field and second TPMI field are reserved. </w:t>
      </w:r>
    </w:p>
    <w:p>
      <w:pPr>
        <w:pStyle w:val="51"/>
        <w:numPr>
          <w:ilvl w:val="2"/>
          <w:numId w:val="10"/>
        </w:numPr>
        <w:spacing w:before="108" w:after="108"/>
        <w:ind w:leftChars="0"/>
        <w:rPr>
          <w:rFonts w:ascii="Times New Roman" w:hAnsi="Times New Roman"/>
          <w:i/>
          <w:iCs/>
          <w:szCs w:val="20"/>
        </w:rPr>
      </w:pPr>
      <w:r>
        <w:rPr>
          <w:rFonts w:ascii="Times New Roman" w:hAnsi="Times New Roman"/>
          <w:i/>
          <w:iCs/>
          <w:szCs w:val="20"/>
        </w:rPr>
        <w:t>When the codepoint is 01, the second SRI field and second TPMI field are associated with the second SRS resource set. The first SRI field and first TPMI field are reserved.</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Alt1</w:t>
      </w:r>
      <w:r>
        <w:rPr>
          <w:rFonts w:ascii="Times New Roman" w:hAnsi="Times New Roman"/>
          <w:i/>
          <w:iCs/>
          <w:szCs w:val="20"/>
          <w:lang w:val="en-US"/>
        </w:rPr>
        <w:t xml:space="preserve"> (second priority)</w:t>
      </w:r>
      <w:r>
        <w:rPr>
          <w:rFonts w:ascii="Times New Roman" w:hAnsi="Times New Roman"/>
          <w:i/>
          <w:iCs/>
          <w:szCs w:val="20"/>
          <w:lang w:val="en-CA"/>
        </w:rPr>
        <w:t>: The DCI has two SRI fields and two TPMI fields. The first SRI field and first TPMI field are associated the first SRS resource set if codepoint = 00 or the second SRS resource set if codepoint = 01. The second SRI field and second TPMI fields are reserved.</w:t>
      </w:r>
    </w:p>
    <w:p>
      <w:pPr>
        <w:pStyle w:val="51"/>
        <w:numPr>
          <w:ilvl w:val="0"/>
          <w:numId w:val="10"/>
        </w:numPr>
        <w:spacing w:before="108" w:after="108"/>
        <w:ind w:leftChars="0"/>
        <w:rPr>
          <w:rFonts w:ascii="Times New Roman" w:hAnsi="Times New Roman"/>
          <w:i/>
          <w:iCs/>
          <w:szCs w:val="20"/>
          <w:lang w:val="en-CA"/>
        </w:rPr>
      </w:pPr>
      <w:r>
        <w:rPr>
          <w:rFonts w:ascii="Times New Roman" w:hAnsi="Times New Roman"/>
          <w:i/>
          <w:iCs/>
          <w:szCs w:val="20"/>
          <w:lang w:val="en-CA"/>
        </w:rPr>
        <w:t>The codepoints 10 indicate SDM transmission with the first and second SRS resource set.</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The first SRI field and first TPMI field are associated with the first SRS resource set and they indicate the precoder(s)/rank/SRI for the first SRS resource set.</w:t>
      </w:r>
    </w:p>
    <w:p>
      <w:pPr>
        <w:pStyle w:val="51"/>
        <w:numPr>
          <w:ilvl w:val="1"/>
          <w:numId w:val="10"/>
        </w:numPr>
        <w:spacing w:before="108" w:after="108"/>
        <w:ind w:leftChars="0"/>
        <w:rPr>
          <w:rFonts w:ascii="Times New Roman" w:hAnsi="Times New Roman"/>
          <w:i/>
          <w:iCs/>
          <w:szCs w:val="20"/>
          <w:lang w:val="en-CA"/>
        </w:rPr>
      </w:pPr>
      <w:r>
        <w:rPr>
          <w:rFonts w:ascii="Times New Roman" w:hAnsi="Times New Roman"/>
          <w:i/>
          <w:iCs/>
          <w:szCs w:val="20"/>
          <w:lang w:val="en-CA"/>
        </w:rPr>
        <w:t xml:space="preserve">The second SRI field and second TPMI field are associated with the </w:t>
      </w:r>
      <w:r>
        <w:rPr>
          <w:rFonts w:hint="eastAsia" w:ascii="Times New Roman" w:hAnsi="Times New Roman" w:eastAsia="宋体"/>
          <w:i/>
          <w:iCs/>
          <w:szCs w:val="20"/>
          <w:lang w:val="en-US" w:eastAsia="zh-CN"/>
        </w:rPr>
        <w:t xml:space="preserve">second </w:t>
      </w:r>
      <w:r>
        <w:rPr>
          <w:rFonts w:ascii="Times New Roman" w:hAnsi="Times New Roman"/>
          <w:i/>
          <w:iCs/>
          <w:szCs w:val="20"/>
          <w:lang w:val="en-CA"/>
        </w:rPr>
        <w:t>SRS resource set and they indicate the precoder(s)/rank/SRI for the second SRS resource set.</w:t>
      </w:r>
    </w:p>
    <w:p>
      <w:pPr>
        <w:pStyle w:val="51"/>
        <w:numPr>
          <w:ilvl w:val="0"/>
          <w:numId w:val="10"/>
        </w:numPr>
        <w:spacing w:before="108" w:after="108"/>
        <w:ind w:leftChars="0"/>
        <w:rPr>
          <w:lang w:val="en-US"/>
        </w:rPr>
      </w:pPr>
      <w:r>
        <w:rPr>
          <w:rFonts w:ascii="Times New Roman" w:hAnsi="Times New Roman"/>
          <w:i/>
          <w:iCs/>
          <w:szCs w:val="20"/>
          <w:lang w:val="en-CA"/>
        </w:rPr>
        <w:t>The codepoint 11 is reserved.</w:t>
      </w:r>
    </w:p>
    <w:p>
      <w:pPr>
        <w:spacing w:before="108" w:after="108"/>
        <w:rPr>
          <w:rFonts w:eastAsia="宋体"/>
          <w:i/>
          <w:iCs/>
        </w:rPr>
      </w:pPr>
      <w:r>
        <w:rPr>
          <w:rFonts w:hint="eastAsia" w:eastAsia="宋体"/>
          <w:b/>
          <w:bCs/>
          <w:i/>
          <w:iCs/>
        </w:rPr>
        <w:t>Proposal 2:</w:t>
      </w:r>
      <w:r>
        <w:rPr>
          <w:rFonts w:hint="eastAsia" w:eastAsia="宋体"/>
          <w:i/>
          <w:iCs/>
        </w:rPr>
        <w:t xml:space="preserve"> Support to configure different values with regards to full power mode and antenna port coherency among two SRS resource sets for single DCI based STxMP PUSCH.</w:t>
      </w:r>
    </w:p>
    <w:p>
      <w:pPr>
        <w:pStyle w:val="51"/>
        <w:numPr>
          <w:ilvl w:val="0"/>
          <w:numId w:val="10"/>
        </w:numPr>
        <w:spacing w:before="108" w:after="108"/>
        <w:ind w:leftChars="0"/>
        <w:rPr>
          <w:rFonts w:eastAsia="宋体"/>
          <w:i/>
          <w:iCs/>
          <w:lang w:val="en-US"/>
        </w:rPr>
      </w:pPr>
      <w:r>
        <w:rPr>
          <w:rFonts w:hint="eastAsia" w:eastAsia="宋体"/>
          <w:i/>
          <w:iCs/>
          <w:lang w:val="en-US"/>
        </w:rPr>
        <w:t>The relevant RRC signaling design is up to RAN2.</w:t>
      </w:r>
    </w:p>
    <w:p>
      <w:pPr>
        <w:spacing w:before="108" w:after="108"/>
        <w:rPr>
          <w:rFonts w:eastAsia="宋体"/>
          <w:i/>
          <w:iCs/>
        </w:rPr>
      </w:pPr>
      <w:r>
        <w:rPr>
          <w:rFonts w:eastAsia="宋体"/>
          <w:b/>
          <w:bCs/>
          <w:i/>
          <w:iCs/>
        </w:rPr>
        <w:t xml:space="preserve">Proposal </w:t>
      </w:r>
      <w:r>
        <w:rPr>
          <w:rFonts w:hint="eastAsia" w:eastAsia="宋体"/>
          <w:b/>
          <w:bCs/>
          <w:i/>
          <w:iCs/>
        </w:rPr>
        <w:t>3</w:t>
      </w:r>
      <w:r>
        <w:rPr>
          <w:rFonts w:eastAsia="宋体"/>
          <w:b/>
          <w:bCs/>
          <w:i/>
          <w:iCs/>
        </w:rPr>
        <w:t xml:space="preserve">: </w:t>
      </w:r>
      <w:r>
        <w:rPr>
          <w:rFonts w:hint="eastAsia" w:eastAsia="宋体"/>
          <w:i/>
          <w:iCs/>
        </w:rPr>
        <w:t>Support t</w:t>
      </w:r>
      <w:r>
        <w:rPr>
          <w:rFonts w:eastAsia="宋体"/>
          <w:i/>
          <w:iCs/>
        </w:rPr>
        <w:t>o confirm the working assumption on the maximum number of layers for SDM vs sTRP in RAN1#112</w:t>
      </w:r>
      <w:r>
        <w:rPr>
          <w:rFonts w:hint="eastAsia" w:eastAsia="宋体"/>
          <w:i/>
          <w:iCs/>
        </w:rPr>
        <w:t xml:space="preserve"> with the following </w:t>
      </w:r>
      <w:r>
        <w:rPr>
          <w:rFonts w:eastAsia="宋体"/>
          <w:i/>
          <w:iCs/>
        </w:rPr>
        <w:t>modification</w:t>
      </w:r>
      <w:r>
        <w:rPr>
          <w:rFonts w:hint="eastAsia" w:eastAsia="宋体"/>
          <w:i/>
          <w:iCs/>
          <w:lang w:val="en-US" w:eastAsia="zh-CN"/>
        </w:rPr>
        <w:t>s</w:t>
      </w:r>
      <w:r>
        <w:rPr>
          <w:rFonts w:eastAsia="宋体"/>
          <w:i/>
          <w:iCs/>
        </w:rPr>
        <w:t>:</w:t>
      </w:r>
    </w:p>
    <w:p>
      <w:pPr>
        <w:spacing w:before="108" w:after="108"/>
        <w:jc w:val="left"/>
        <w:rPr>
          <w:i/>
          <w:iCs/>
        </w:rPr>
      </w:pPr>
      <w:r>
        <w:rPr>
          <w:rFonts w:eastAsia="Batang"/>
          <w:i/>
          <w:iCs/>
          <w:szCs w:val="24"/>
          <w:lang w:bidi="ar"/>
        </w:rPr>
        <w:t>For dynamic switching between STxMP SDM scheme and sTRP transmission, support the following:</w:t>
      </w:r>
    </w:p>
    <w:p>
      <w:pPr>
        <w:pStyle w:val="128"/>
        <w:numPr>
          <w:ilvl w:val="0"/>
          <w:numId w:val="20"/>
        </w:numPr>
        <w:spacing w:before="108" w:after="108"/>
        <w:ind w:leftChars="0"/>
        <w:jc w:val="both"/>
        <w:rPr>
          <w:rFonts w:ascii="Times New Roman" w:hAnsi="Times New Roman"/>
          <w:i/>
          <w:iCs/>
        </w:rPr>
      </w:pPr>
      <w:r>
        <w:rPr>
          <w:rFonts w:ascii="Times New Roman" w:hAnsi="Times New Roman"/>
          <w:i/>
          <w:iCs/>
        </w:rPr>
        <w:t>For sTRP transmission: The maximal number of layers of sTRP transmission is configured by the maxRank (or Lmax) as in current spec (i.e., Option 1)</w:t>
      </w:r>
    </w:p>
    <w:p>
      <w:pPr>
        <w:pStyle w:val="128"/>
        <w:numPr>
          <w:ilvl w:val="0"/>
          <w:numId w:val="20"/>
        </w:numPr>
        <w:spacing w:before="108" w:after="108"/>
        <w:ind w:leftChars="0"/>
        <w:jc w:val="both"/>
        <w:rPr>
          <w:rFonts w:ascii="Times New Roman" w:hAnsi="Times New Roman"/>
          <w:i/>
          <w:iCs/>
        </w:rPr>
      </w:pPr>
      <w:r>
        <w:rPr>
          <w:rFonts w:ascii="Times New Roman" w:hAnsi="Times New Roman"/>
          <w:i/>
          <w:iCs/>
        </w:rPr>
        <w:t xml:space="preserve">For SDM scheme: </w:t>
      </w:r>
      <w:r>
        <w:rPr>
          <w:rFonts w:ascii="Times New Roman" w:hAnsi="Times New Roman"/>
          <w:i/>
          <w:iCs/>
          <w:szCs w:val="20"/>
        </w:rPr>
        <w:t>configure one single maximal number of layers (separate from maxRank (or Lmax) for sTRP) that is applied to the first SRS resource set and the second SRS resource set, separately (i.e., Alt1)</w:t>
      </w:r>
    </w:p>
    <w:p>
      <w:pPr>
        <w:pStyle w:val="128"/>
        <w:numPr>
          <w:ilvl w:val="0"/>
          <w:numId w:val="20"/>
        </w:numPr>
        <w:spacing w:before="108" w:after="108"/>
        <w:ind w:leftChars="0"/>
        <w:jc w:val="both"/>
        <w:rPr>
          <w:rFonts w:ascii="Times New Roman" w:hAnsi="Times New Roman"/>
          <w:i/>
          <w:iCs/>
        </w:rPr>
      </w:pPr>
      <w:r>
        <w:rPr>
          <w:rFonts w:hint="eastAsia" w:ascii="Times New Roman" w:hAnsi="Times New Roman"/>
          <w:i/>
          <w:iCs/>
          <w:strike/>
          <w:color w:val="FF0000"/>
        </w:rPr>
        <w:t>FFS: Whether/how to enable that t</w:t>
      </w:r>
      <w:r>
        <w:rPr>
          <w:rFonts w:ascii="Times New Roman" w:hAnsi="Times New Roman"/>
          <w:i/>
          <w:iCs/>
          <w:color w:val="FF0000"/>
        </w:rPr>
        <w:t>T</w:t>
      </w:r>
      <w:r>
        <w:rPr>
          <w:rFonts w:ascii="Times New Roman" w:hAnsi="Times New Roman"/>
          <w:i/>
          <w:iCs/>
        </w:rPr>
        <w:t xml:space="preserve">he total number of used PUSCH antenna ports for the SDM and sTRP </w:t>
      </w:r>
      <w:r>
        <w:rPr>
          <w:rFonts w:hint="eastAsia" w:ascii="Times New Roman" w:hAnsi="Times New Roman"/>
          <w:i/>
          <w:iCs/>
          <w:strike/>
          <w:color w:val="FF0000"/>
        </w:rPr>
        <w:t xml:space="preserve">is </w:t>
      </w:r>
      <w:r>
        <w:rPr>
          <w:rFonts w:ascii="Times New Roman" w:hAnsi="Times New Roman"/>
          <w:i/>
          <w:iCs/>
          <w:color w:val="FF0000"/>
        </w:rPr>
        <w:t>can be</w:t>
      </w:r>
      <w:r>
        <w:rPr>
          <w:rFonts w:ascii="Times New Roman" w:hAnsi="Times New Roman"/>
          <w:i/>
          <w:iCs/>
        </w:rPr>
        <w:t xml:space="preserve"> the same</w:t>
      </w:r>
      <w:r>
        <w:rPr>
          <w:rFonts w:ascii="Times New Roman" w:hAnsi="Times New Roman"/>
          <w:i/>
          <w:iCs/>
          <w:color w:val="FF0000"/>
        </w:rPr>
        <w:t xml:space="preserve"> or different</w:t>
      </w:r>
      <w:r>
        <w:rPr>
          <w:rFonts w:ascii="Times New Roman" w:hAnsi="Times New Roman"/>
          <w:i/>
          <w:iCs/>
        </w:rPr>
        <w:t xml:space="preserve">. </w:t>
      </w:r>
    </w:p>
    <w:p>
      <w:pPr>
        <w:pStyle w:val="128"/>
        <w:numPr>
          <w:ilvl w:val="1"/>
          <w:numId w:val="20"/>
        </w:numPr>
        <w:spacing w:before="108" w:after="108"/>
        <w:ind w:leftChars="0"/>
        <w:jc w:val="both"/>
        <w:rPr>
          <w:rFonts w:ascii="Times New Roman" w:hAnsi="Times New Roman" w:eastAsia="宋体"/>
          <w:b/>
          <w:bCs/>
          <w:i/>
          <w:iCs/>
        </w:rPr>
      </w:pPr>
      <w:r>
        <w:rPr>
          <w:rFonts w:ascii="Times New Roman" w:hAnsi="Times New Roman"/>
          <w:i/>
          <w:iCs/>
        </w:rPr>
        <w:t>Note: This corresponds to the case that digital ports are shared between the panels.</w:t>
      </w:r>
    </w:p>
    <w:p>
      <w:pPr>
        <w:pStyle w:val="128"/>
        <w:numPr>
          <w:ilvl w:val="1"/>
          <w:numId w:val="20"/>
        </w:numPr>
        <w:spacing w:before="108" w:after="108"/>
        <w:ind w:leftChars="0"/>
        <w:jc w:val="both"/>
        <w:rPr>
          <w:rFonts w:ascii="Times New Roman" w:hAnsi="Times New Roman"/>
        </w:rPr>
      </w:pPr>
      <w:r>
        <w:rPr>
          <w:rFonts w:ascii="Times New Roman" w:hAnsi="Times New Roman"/>
          <w:i/>
          <w:iCs/>
        </w:rPr>
        <w:t>Note: RAN1 supports both implementations that digital ports are shared or separate among panels.</w:t>
      </w:r>
    </w:p>
    <w:p>
      <w:pPr>
        <w:spacing w:before="108" w:after="108"/>
        <w:rPr>
          <w:rFonts w:eastAsia="宋体"/>
          <w:i/>
          <w:iCs/>
        </w:rPr>
      </w:pPr>
      <w:r>
        <w:rPr>
          <w:rFonts w:hint="eastAsia"/>
          <w:b/>
          <w:bCs/>
          <w:i/>
          <w:iCs/>
        </w:rPr>
        <w:t>Proposal 4:</w:t>
      </w:r>
      <w:r>
        <w:rPr>
          <w:rFonts w:hint="eastAsia"/>
          <w:i/>
          <w:iCs/>
        </w:rPr>
        <w:t xml:space="preserve"> </w:t>
      </w:r>
      <w:r>
        <w:rPr>
          <w:i/>
          <w:iCs/>
          <w:lang w:val="en-CA"/>
        </w:rPr>
        <w:t>For case that one PUCCH overlaps with two overlapped PUSCHs in multi-DCI based STxMP PUSCH+PUSCH,</w:t>
      </w:r>
      <w:r>
        <w:rPr>
          <w:rFonts w:hint="eastAsia" w:eastAsia="宋体"/>
          <w:i/>
          <w:iCs/>
        </w:rPr>
        <w:t xml:space="preserve"> </w:t>
      </w:r>
      <w:r>
        <w:rPr>
          <w:i/>
          <w:iCs/>
          <w:lang w:val="en-CA"/>
        </w:rPr>
        <w:t>the UCI is multiplexed into the PUSCH associated with the same</w:t>
      </w:r>
      <w:r>
        <w:rPr>
          <w:rStyle w:val="99"/>
          <w:i/>
          <w:iCs/>
          <w:lang w:val="en-CA"/>
        </w:rPr>
        <w:t> </w:t>
      </w:r>
      <w:r>
        <w:rPr>
          <w:i/>
          <w:iCs/>
          <w:lang w:val="en-CA"/>
        </w:rPr>
        <w:t>TRP. And among the PUSCHs associated with the same</w:t>
      </w:r>
      <w:r>
        <w:rPr>
          <w:rStyle w:val="99"/>
          <w:i/>
          <w:iCs/>
          <w:lang w:val="en-CA"/>
        </w:rPr>
        <w:t> </w:t>
      </w:r>
      <w:r>
        <w:rPr>
          <w:i/>
          <w:iCs/>
          <w:lang w:val="en-CA"/>
        </w:rPr>
        <w:t>TRP, the legacy PUSCH priority order for UCI multiplexing is applied.</w:t>
      </w:r>
      <w:r>
        <w:rPr>
          <w:rFonts w:hint="eastAsia" w:eastAsia="宋体"/>
          <w:i/>
          <w:iCs/>
        </w:rPr>
        <w:t xml:space="preserve"> (Option 1)</w:t>
      </w:r>
    </w:p>
    <w:p>
      <w:pPr>
        <w:pStyle w:val="51"/>
        <w:numPr>
          <w:ilvl w:val="0"/>
          <w:numId w:val="10"/>
        </w:numPr>
        <w:spacing w:before="108" w:after="108"/>
        <w:ind w:leftChars="0"/>
        <w:rPr>
          <w:rFonts w:eastAsia="宋体"/>
          <w:i/>
          <w:iCs/>
          <w:lang w:val="en-CA"/>
        </w:rPr>
      </w:pPr>
      <w:r>
        <w:rPr>
          <w:rFonts w:hint="eastAsia" w:eastAsia="宋体"/>
          <w:i/>
          <w:iCs/>
          <w:lang w:val="en-CA"/>
        </w:rPr>
        <w:t>The UCI is multiplexed in the PUSCH associated with the same coresetPool</w:t>
      </w:r>
      <w:r>
        <w:rPr>
          <w:rFonts w:hint="eastAsia" w:eastAsia="宋体"/>
          <w:i/>
          <w:iCs/>
          <w:lang w:val="en-US"/>
        </w:rPr>
        <w:t>I</w:t>
      </w:r>
      <w:r>
        <w:rPr>
          <w:rFonts w:hint="eastAsia" w:eastAsia="宋体"/>
          <w:i/>
          <w:iCs/>
          <w:lang w:val="en-CA"/>
        </w:rPr>
        <w:t>ndex value</w:t>
      </w:r>
      <w:r>
        <w:rPr>
          <w:rFonts w:hint="eastAsia" w:eastAsia="宋体"/>
          <w:i/>
          <w:iCs/>
          <w:lang w:val="en-US"/>
        </w:rPr>
        <w:t>.</w:t>
      </w:r>
    </w:p>
    <w:p>
      <w:pPr>
        <w:pStyle w:val="51"/>
        <w:numPr>
          <w:ilvl w:val="0"/>
          <w:numId w:val="10"/>
        </w:numPr>
        <w:spacing w:before="108" w:after="108"/>
        <w:ind w:leftChars="0"/>
        <w:rPr>
          <w:rFonts w:eastAsia="宋体"/>
          <w:i/>
          <w:iCs/>
          <w:lang w:val="en-CA"/>
        </w:rPr>
      </w:pPr>
      <w:r>
        <w:rPr>
          <w:rFonts w:hint="eastAsia" w:eastAsia="宋体"/>
          <w:i/>
          <w:iCs/>
          <w:lang w:val="en-US"/>
        </w:rPr>
        <w:t>W</w:t>
      </w:r>
      <w:r>
        <w:rPr>
          <w:rFonts w:hint="eastAsia" w:eastAsia="宋体"/>
          <w:i/>
          <w:iCs/>
          <w:lang w:val="en-CA"/>
        </w:rPr>
        <w:t>hen separate HARQ feedback is configured, a PUCCH transmission triggered by DCI associated with one coresetPoolIndex can overlap in time with a PUSCH transmission triggered by DCI associated with another coresetPoolIndex</w:t>
      </w:r>
      <w:r>
        <w:rPr>
          <w:rFonts w:hint="eastAsia" w:eastAsia="宋体"/>
          <w:i/>
          <w:iCs/>
          <w:lang w:val="en-US"/>
        </w:rPr>
        <w:t>.</w:t>
      </w:r>
    </w:p>
    <w:p>
      <w:pPr>
        <w:spacing w:before="108" w:after="108"/>
        <w:rPr>
          <w:rFonts w:eastAsia="宋体"/>
          <w:i/>
          <w:iCs/>
        </w:rPr>
      </w:pPr>
      <w:r>
        <w:rPr>
          <w:rFonts w:hint="eastAsia"/>
          <w:b/>
          <w:bCs/>
          <w:i/>
          <w:iCs/>
        </w:rPr>
        <w:t xml:space="preserve">Proposal 5: </w:t>
      </w:r>
      <w:r>
        <w:rPr>
          <w:rStyle w:val="30"/>
          <w:rFonts w:cs="Times"/>
          <w:b w:val="0"/>
          <w:i/>
          <w:iCs/>
          <w:szCs w:val="20"/>
        </w:rPr>
        <w:t>Regarding enhancement on the Rel-17 group-based beam L1-RSRP reporting to support STxMP-based transmission, in each reported pair of CRIs or SSBRIs, UE indicates if the UL Tx spatial filters determined from the reported pair of CRIs or SSBRIs can be applied simultaneously, and/or if the reported pair of CRIs or SSBRIs can be received simultaneously.</w:t>
      </w:r>
      <w:r>
        <w:rPr>
          <w:rStyle w:val="30"/>
          <w:rFonts w:hint="eastAsia" w:eastAsia="宋体" w:cs="Times"/>
          <w:b w:val="0"/>
          <w:i/>
          <w:iCs/>
          <w:szCs w:val="20"/>
        </w:rPr>
        <w:t xml:space="preserve"> </w:t>
      </w:r>
      <w:r>
        <w:rPr>
          <w:rFonts w:hint="eastAsia" w:eastAsia="宋体"/>
          <w:i/>
          <w:iCs/>
        </w:rPr>
        <w:t>(Alt 3)</w:t>
      </w:r>
    </w:p>
    <w:p>
      <w:pPr>
        <w:pStyle w:val="51"/>
        <w:numPr>
          <w:ilvl w:val="0"/>
          <w:numId w:val="10"/>
        </w:numPr>
        <w:spacing w:before="108" w:after="108"/>
        <w:ind w:leftChars="0"/>
        <w:rPr>
          <w:rFonts w:eastAsia="宋体"/>
          <w:i/>
          <w:iCs/>
          <w:lang w:val="en-CA"/>
        </w:rPr>
      </w:pPr>
      <w:r>
        <w:rPr>
          <w:rStyle w:val="30"/>
          <w:rFonts w:cs="Times"/>
          <w:b w:val="0"/>
          <w:i/>
          <w:iCs/>
          <w:szCs w:val="20"/>
        </w:rPr>
        <w:t>Introduce an indicator to</w:t>
      </w:r>
      <w:r>
        <w:rPr>
          <w:rStyle w:val="30"/>
          <w:rFonts w:hint="eastAsia" w:eastAsia="宋体" w:cs="Times"/>
          <w:b w:val="0"/>
          <w:i/>
          <w:iCs/>
          <w:szCs w:val="20"/>
          <w:lang w:val="en-US"/>
        </w:rPr>
        <w:t xml:space="preserve"> indicate the following states:</w:t>
      </w:r>
    </w:p>
    <w:p>
      <w:pPr>
        <w:pStyle w:val="51"/>
        <w:numPr>
          <w:ilvl w:val="1"/>
          <w:numId w:val="10"/>
        </w:numPr>
        <w:spacing w:before="108" w:after="108"/>
        <w:ind w:leftChars="0"/>
        <w:rPr>
          <w:rFonts w:eastAsia="宋体"/>
          <w:i/>
          <w:iCs/>
          <w:lang w:val="en-CA"/>
        </w:rPr>
      </w:pPr>
      <w:r>
        <w:rPr>
          <w:rStyle w:val="30"/>
          <w:rFonts w:hint="eastAsia" w:eastAsia="宋体" w:cs="Times"/>
          <w:b w:val="0"/>
          <w:i/>
          <w:iCs/>
          <w:szCs w:val="20"/>
          <w:lang w:val="en-US"/>
        </w:rPr>
        <w:t>State 1: B</w:t>
      </w:r>
      <w:r>
        <w:rPr>
          <w:rFonts w:hint="eastAsia"/>
          <w:i/>
          <w:iCs/>
          <w:lang w:val="en-US"/>
        </w:rPr>
        <w:t>eam pairs for UL Tx and DL Rx simultaneously.</w:t>
      </w:r>
    </w:p>
    <w:p>
      <w:pPr>
        <w:pStyle w:val="51"/>
        <w:numPr>
          <w:ilvl w:val="1"/>
          <w:numId w:val="10"/>
        </w:numPr>
        <w:spacing w:before="108" w:after="108"/>
        <w:ind w:leftChars="0"/>
        <w:rPr>
          <w:i/>
          <w:iCs/>
          <w:lang w:val="en-US"/>
        </w:rPr>
      </w:pPr>
      <w:r>
        <w:rPr>
          <w:rFonts w:hint="eastAsia"/>
          <w:i/>
          <w:iCs/>
          <w:lang w:val="en-US"/>
        </w:rPr>
        <w:t>State 2: Beam pairs for DL Rx only.</w:t>
      </w:r>
    </w:p>
    <w:p>
      <w:pPr>
        <w:spacing w:before="108" w:after="108"/>
        <w:rPr>
          <w:rFonts w:eastAsia="宋体"/>
          <w:szCs w:val="20"/>
        </w:rPr>
      </w:pPr>
      <w:r>
        <w:rPr>
          <w:rFonts w:hint="eastAsia"/>
          <w:b/>
          <w:bCs/>
          <w:i/>
          <w:iCs/>
        </w:rPr>
        <w:t xml:space="preserve">Proposal 6: </w:t>
      </w:r>
      <w:r>
        <w:rPr>
          <w:rStyle w:val="30"/>
          <w:rFonts w:hint="eastAsia" w:eastAsia="宋体" w:cs="Times"/>
          <w:b w:val="0"/>
          <w:i/>
          <w:iCs/>
          <w:szCs w:val="20"/>
        </w:rPr>
        <w:t xml:space="preserve">For MDCI based STxMP PUSCH+PUSCH, support to specify that </w:t>
      </w:r>
      <w:r>
        <w:rPr>
          <w:rFonts w:hint="eastAsia" w:eastAsia="宋体"/>
          <w:i/>
          <w:iCs/>
        </w:rPr>
        <w:t>DMRS initialization ID of PUSCH associated with different values of coresetPoolIndex should be different.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07216"/>
      <w:bookmarkEnd w:id="1"/>
      <w:bookmarkStart w:id="2" w:name="_Ref446506608"/>
      <w:bookmarkEnd w:id="2"/>
      <w:bookmarkStart w:id="3" w:name="_Ref446511358"/>
      <w:bookmarkEnd w:id="3"/>
    </w:p>
    <w:p>
      <w:pPr>
        <w:pStyle w:val="119"/>
        <w:spacing w:before="0" w:beforeLines="0" w:after="0" w:afterLines="0"/>
        <w:ind w:left="363" w:hanging="363"/>
        <w:rPr>
          <w:rFonts w:eastAsia="宋体"/>
          <w:szCs w:val="20"/>
        </w:rPr>
      </w:pPr>
      <w:r>
        <w:rPr>
          <w:bCs/>
          <w:szCs w:val="20"/>
        </w:rPr>
        <w:t>RP-213598, New WID: MIMO Evolution for Downlink and Uplink, Moderator</w:t>
      </w:r>
      <w:r>
        <w:rPr>
          <w:rFonts w:hint="eastAsia" w:eastAsia="宋体"/>
          <w:bCs/>
          <w:szCs w:val="20"/>
        </w:rPr>
        <w:t xml:space="preserve"> (</w:t>
      </w:r>
      <w:r>
        <w:rPr>
          <w:bCs/>
          <w:szCs w:val="20"/>
        </w:rPr>
        <w:t>Samsung</w:t>
      </w:r>
      <w:r>
        <w:rPr>
          <w:rFonts w:hint="eastAsia" w:eastAsia="宋体"/>
          <w:bCs/>
          <w:szCs w:val="20"/>
        </w:rPr>
        <w:t>)</w:t>
      </w:r>
    </w:p>
    <w:p>
      <w:pPr>
        <w:pStyle w:val="119"/>
        <w:spacing w:before="0" w:beforeLines="0" w:after="0" w:afterLines="0"/>
        <w:ind w:left="363" w:hanging="363"/>
        <w:rPr>
          <w:rFonts w:eastAsia="宋体"/>
          <w:szCs w:val="20"/>
        </w:rPr>
      </w:pPr>
      <w:r>
        <w:rPr>
          <w:szCs w:val="20"/>
        </w:rPr>
        <w:t>Chair's Notes RAN1#1</w:t>
      </w:r>
      <w:r>
        <w:rPr>
          <w:rFonts w:eastAsia="宋体"/>
          <w:szCs w:val="20"/>
        </w:rPr>
        <w:t>1</w:t>
      </w:r>
      <w:r>
        <w:rPr>
          <w:rFonts w:hint="eastAsia" w:eastAsia="宋体"/>
          <w:szCs w:val="20"/>
        </w:rPr>
        <w:t>2b-e,</w:t>
      </w:r>
      <w:r>
        <w:rPr>
          <w:rFonts w:eastAsia="宋体"/>
          <w:szCs w:val="20"/>
        </w:rPr>
        <w:t xml:space="preserve"> </w:t>
      </w:r>
      <w:r>
        <w:rPr>
          <w:rFonts w:hint="eastAsia" w:eastAsia="宋体"/>
          <w:szCs w:val="20"/>
        </w:rPr>
        <w:t>April</w:t>
      </w:r>
      <w:r>
        <w:rPr>
          <w:szCs w:val="20"/>
        </w:rPr>
        <w:t xml:space="preserve"> </w:t>
      </w:r>
      <w:r>
        <w:rPr>
          <w:rFonts w:hint="eastAsia" w:eastAsia="宋体"/>
          <w:szCs w:val="20"/>
        </w:rPr>
        <w:t>17</w:t>
      </w:r>
      <w:r>
        <w:rPr>
          <w:szCs w:val="20"/>
          <w:vertAlign w:val="superscript"/>
        </w:rPr>
        <w:t>th</w:t>
      </w:r>
      <w:r>
        <w:rPr>
          <w:szCs w:val="20"/>
        </w:rPr>
        <w:t>-</w:t>
      </w:r>
      <w:r>
        <w:rPr>
          <w:rFonts w:hint="eastAsia" w:eastAsia="宋体"/>
          <w:szCs w:val="20"/>
        </w:rPr>
        <w:t xml:space="preserve"> April 26</w:t>
      </w:r>
      <w:r>
        <w:rPr>
          <w:rFonts w:hint="eastAsia" w:eastAsia="宋体"/>
          <w:szCs w:val="20"/>
          <w:vertAlign w:val="superscript"/>
        </w:rPr>
        <w:t>th</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p>
      <w:pPr>
        <w:pStyle w:val="119"/>
        <w:spacing w:before="0" w:beforeLines="0" w:after="0" w:afterLines="0"/>
        <w:ind w:left="363" w:hanging="363"/>
        <w:rPr>
          <w:bCs/>
          <w:szCs w:val="20"/>
        </w:rPr>
      </w:pPr>
      <w:r>
        <w:rPr>
          <w:szCs w:val="20"/>
        </w:rPr>
        <w:t>Chair's Notes RAN1#1</w:t>
      </w:r>
      <w:r>
        <w:rPr>
          <w:rFonts w:eastAsia="宋体"/>
          <w:szCs w:val="20"/>
        </w:rPr>
        <w:t>1</w:t>
      </w:r>
      <w:r>
        <w:rPr>
          <w:rFonts w:hint="eastAsia" w:eastAsia="宋体"/>
          <w:szCs w:val="20"/>
        </w:rPr>
        <w:t>2</w:t>
      </w:r>
      <w:r>
        <w:rPr>
          <w:rFonts w:eastAsia="宋体"/>
          <w:szCs w:val="20"/>
        </w:rPr>
        <w:t xml:space="preserve">, </w:t>
      </w:r>
      <w:r>
        <w:rPr>
          <w:rFonts w:hint="eastAsia" w:eastAsia="宋体"/>
          <w:szCs w:val="20"/>
        </w:rPr>
        <w:t>Feb</w:t>
      </w:r>
      <w:r>
        <w:rPr>
          <w:szCs w:val="20"/>
        </w:rPr>
        <w:t xml:space="preserve"> </w:t>
      </w:r>
      <w:r>
        <w:rPr>
          <w:rFonts w:hint="eastAsia" w:eastAsia="宋体"/>
          <w:szCs w:val="20"/>
        </w:rPr>
        <w:t>27</w:t>
      </w:r>
      <w:r>
        <w:rPr>
          <w:szCs w:val="20"/>
          <w:vertAlign w:val="superscript"/>
        </w:rPr>
        <w:t>th</w:t>
      </w:r>
      <w:r>
        <w:rPr>
          <w:szCs w:val="20"/>
        </w:rPr>
        <w:t>-</w:t>
      </w:r>
      <w:r>
        <w:rPr>
          <w:rFonts w:hint="eastAsia" w:eastAsia="宋体"/>
          <w:szCs w:val="20"/>
        </w:rPr>
        <w:t xml:space="preserve"> Mar 3</w:t>
      </w:r>
      <w:r>
        <w:rPr>
          <w:rFonts w:hint="eastAsia" w:eastAsia="宋体"/>
          <w:szCs w:val="20"/>
          <w:vertAlign w:val="superscript"/>
        </w:rPr>
        <w:t>rd</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BB96F"/>
    <w:multiLevelType w:val="singleLevel"/>
    <w:tmpl w:val="9ABBB96F"/>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BCB25ECE"/>
    <w:multiLevelType w:val="singleLevel"/>
    <w:tmpl w:val="BCB25ECE"/>
    <w:lvl w:ilvl="0" w:tentative="0">
      <w:start w:val="1"/>
      <w:numFmt w:val="bullet"/>
      <w:lvlText w:val=""/>
      <w:lvlJc w:val="left"/>
      <w:pPr>
        <w:ind w:left="420" w:hanging="420"/>
      </w:pPr>
      <w:rPr>
        <w:rFonts w:hint="default" w:ascii="Wingdings" w:hAnsi="Wingdings"/>
      </w:rPr>
    </w:lvl>
  </w:abstractNum>
  <w:abstractNum w:abstractNumId="2">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DCC55C4D"/>
    <w:multiLevelType w:val="singleLevel"/>
    <w:tmpl w:val="DCC55C4D"/>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EEBD4F27"/>
    <w:multiLevelType w:val="multilevel"/>
    <w:tmpl w:val="EEBD4F27"/>
    <w:lvl w:ilvl="0" w:tentative="0">
      <w:start w:val="1"/>
      <w:numFmt w:val="decimal"/>
      <w:lvlText w:val="%1."/>
      <w:lvlJc w:val="left"/>
      <w:pPr>
        <w:ind w:left="1080" w:hanging="720"/>
      </w:pPr>
    </w:lvl>
    <w:lvl w:ilvl="1" w:tentative="0">
      <w:start w:val="1"/>
      <w:numFmt w:val="lowerLetter"/>
      <w:lvlText w:val="%2."/>
      <w:lvlJc w:val="left"/>
      <w:pPr>
        <w:ind w:left="1800" w:hanging="72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FAA8D908"/>
    <w:multiLevelType w:val="multilevel"/>
    <w:tmpl w:val="FAA8D908"/>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8D16807"/>
    <w:multiLevelType w:val="multilevel"/>
    <w:tmpl w:val="08D16807"/>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1283720B"/>
    <w:multiLevelType w:val="multilevel"/>
    <w:tmpl w:val="128372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94CDEFC"/>
    <w:multiLevelType w:val="singleLevel"/>
    <w:tmpl w:val="194CDEFC"/>
    <w:lvl w:ilvl="0" w:tentative="0">
      <w:start w:val="1"/>
      <w:numFmt w:val="bullet"/>
      <w:lvlText w:val=""/>
      <w:lvlJc w:val="left"/>
      <w:pPr>
        <w:ind w:left="420" w:hanging="420"/>
      </w:pPr>
      <w:rPr>
        <w:rFonts w:hint="default" w:ascii="Wingdings" w:hAnsi="Wingdings"/>
      </w:rPr>
    </w:lvl>
  </w:abstractNum>
  <w:abstractNum w:abstractNumId="10">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1">
    <w:nsid w:val="2B2D1D65"/>
    <w:multiLevelType w:val="multilevel"/>
    <w:tmpl w:val="2B2D1D6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392D2F79"/>
    <w:multiLevelType w:val="multilevel"/>
    <w:tmpl w:val="392D2F79"/>
    <w:lvl w:ilvl="0" w:tentative="0">
      <w:start w:val="0"/>
      <w:numFmt w:val="bullet"/>
      <w:lvlText w:val="-"/>
      <w:lvlJc w:val="left"/>
      <w:pPr>
        <w:tabs>
          <w:tab w:val="left" w:pos="1080"/>
        </w:tabs>
        <w:ind w:left="1080" w:hanging="360"/>
      </w:pPr>
      <w:rPr>
        <w:rFonts w:hint="default" w:ascii="Calibri" w:hAnsi="Calibri" w:eastAsia="等线" w:cs="Calibri"/>
        <w:sz w:val="20"/>
      </w:rPr>
    </w:lvl>
    <w:lvl w:ilvl="1" w:tentative="0">
      <w:start w:val="1"/>
      <w:numFmt w:val="bullet"/>
      <w:lvlText w:val=""/>
      <w:lvlJc w:val="left"/>
      <w:pPr>
        <w:tabs>
          <w:tab w:val="left" w:pos="1800"/>
        </w:tabs>
        <w:ind w:left="1800" w:hanging="360"/>
      </w:pPr>
      <w:rPr>
        <w:rFonts w:hint="default" w:ascii="Symbol" w:hAnsi="Symbol"/>
        <w:sz w:val="20"/>
      </w:rPr>
    </w:lvl>
    <w:lvl w:ilvl="2" w:tentative="0">
      <w:start w:val="1"/>
      <w:numFmt w:val="bullet"/>
      <w:lvlText w:val=""/>
      <w:lvlJc w:val="left"/>
      <w:pPr>
        <w:tabs>
          <w:tab w:val="left" w:pos="2520"/>
        </w:tabs>
        <w:ind w:left="2520" w:hanging="360"/>
      </w:pPr>
      <w:rPr>
        <w:rFonts w:hint="default" w:ascii="Symbol" w:hAnsi="Symbol"/>
        <w:sz w:val="20"/>
      </w:rPr>
    </w:lvl>
    <w:lvl w:ilvl="3" w:tentative="0">
      <w:start w:val="1"/>
      <w:numFmt w:val="bullet"/>
      <w:lvlText w:val=""/>
      <w:lvlJc w:val="left"/>
      <w:pPr>
        <w:tabs>
          <w:tab w:val="left" w:pos="3240"/>
        </w:tabs>
        <w:ind w:left="3240" w:hanging="360"/>
      </w:pPr>
      <w:rPr>
        <w:rFonts w:hint="default" w:ascii="Symbol" w:hAnsi="Symbol"/>
        <w:sz w:val="20"/>
      </w:rPr>
    </w:lvl>
    <w:lvl w:ilvl="4" w:tentative="0">
      <w:start w:val="1"/>
      <w:numFmt w:val="bullet"/>
      <w:lvlText w:val=""/>
      <w:lvlJc w:val="left"/>
      <w:pPr>
        <w:tabs>
          <w:tab w:val="left" w:pos="3960"/>
        </w:tabs>
        <w:ind w:left="3960" w:hanging="360"/>
      </w:pPr>
      <w:rPr>
        <w:rFonts w:hint="default" w:ascii="Symbol" w:hAnsi="Symbol"/>
        <w:sz w:val="20"/>
      </w:rPr>
    </w:lvl>
    <w:lvl w:ilvl="5" w:tentative="0">
      <w:start w:val="1"/>
      <w:numFmt w:val="bullet"/>
      <w:lvlText w:val=""/>
      <w:lvlJc w:val="left"/>
      <w:pPr>
        <w:tabs>
          <w:tab w:val="left" w:pos="4680"/>
        </w:tabs>
        <w:ind w:left="4680" w:hanging="360"/>
      </w:pPr>
      <w:rPr>
        <w:rFonts w:hint="default" w:ascii="Symbol" w:hAnsi="Symbol"/>
        <w:sz w:val="20"/>
      </w:rPr>
    </w:lvl>
    <w:lvl w:ilvl="6" w:tentative="0">
      <w:start w:val="1"/>
      <w:numFmt w:val="bullet"/>
      <w:lvlText w:val=""/>
      <w:lvlJc w:val="left"/>
      <w:pPr>
        <w:tabs>
          <w:tab w:val="left" w:pos="5400"/>
        </w:tabs>
        <w:ind w:left="5400" w:hanging="360"/>
      </w:pPr>
      <w:rPr>
        <w:rFonts w:hint="default" w:ascii="Symbol" w:hAnsi="Symbol"/>
        <w:sz w:val="20"/>
      </w:rPr>
    </w:lvl>
    <w:lvl w:ilvl="7" w:tentative="0">
      <w:start w:val="1"/>
      <w:numFmt w:val="bullet"/>
      <w:lvlText w:val=""/>
      <w:lvlJc w:val="left"/>
      <w:pPr>
        <w:tabs>
          <w:tab w:val="left" w:pos="6120"/>
        </w:tabs>
        <w:ind w:left="6120" w:hanging="360"/>
      </w:pPr>
      <w:rPr>
        <w:rFonts w:hint="default" w:ascii="Symbol" w:hAnsi="Symbol"/>
        <w:sz w:val="20"/>
      </w:rPr>
    </w:lvl>
    <w:lvl w:ilvl="8" w:tentative="0">
      <w:start w:val="1"/>
      <w:numFmt w:val="bullet"/>
      <w:lvlText w:val=""/>
      <w:lvlJc w:val="left"/>
      <w:pPr>
        <w:tabs>
          <w:tab w:val="left" w:pos="6840"/>
        </w:tabs>
        <w:ind w:left="6840" w:hanging="360"/>
      </w:pPr>
      <w:rPr>
        <w:rFonts w:hint="default" w:ascii="Symbol" w:hAnsi="Symbol"/>
        <w:sz w:val="20"/>
      </w:rPr>
    </w:lvl>
  </w:abstractNum>
  <w:abstractNum w:abstractNumId="13">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14">
    <w:nsid w:val="3CFB265E"/>
    <w:multiLevelType w:val="multilevel"/>
    <w:tmpl w:val="3CFB265E"/>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404689B3"/>
    <w:multiLevelType w:val="multilevel"/>
    <w:tmpl w:val="404689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D893C5B"/>
    <w:multiLevelType w:val="multilevel"/>
    <w:tmpl w:val="4D893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6884297"/>
    <w:multiLevelType w:val="singleLevel"/>
    <w:tmpl w:val="56884297"/>
    <w:lvl w:ilvl="0" w:tentative="0">
      <w:start w:val="1"/>
      <w:numFmt w:val="bullet"/>
      <w:lvlText w:val=""/>
      <w:lvlJc w:val="left"/>
      <w:pPr>
        <w:ind w:left="420" w:hanging="420"/>
      </w:pPr>
      <w:rPr>
        <w:rFonts w:hint="default" w:ascii="Wingdings" w:hAnsi="Wingdings"/>
      </w:rPr>
    </w:lvl>
  </w:abstractNum>
  <w:abstractNum w:abstractNumId="18">
    <w:nsid w:val="57AD12DD"/>
    <w:multiLevelType w:val="singleLevel"/>
    <w:tmpl w:val="57AD12DD"/>
    <w:lvl w:ilvl="0" w:tentative="0">
      <w:start w:val="1"/>
      <w:numFmt w:val="bullet"/>
      <w:lvlText w:val="-"/>
      <w:lvlJc w:val="left"/>
      <w:pPr>
        <w:ind w:left="420" w:hanging="420"/>
      </w:pPr>
      <w:rPr>
        <w:rFonts w:hint="default" w:ascii="微软雅黑" w:hAnsi="微软雅黑" w:eastAsia="微软雅黑" w:cs="微软雅黑"/>
      </w:rPr>
    </w:lvl>
  </w:abstractNum>
  <w:abstractNum w:abstractNumId="19">
    <w:nsid w:val="5C3F2108"/>
    <w:multiLevelType w:val="singleLevel"/>
    <w:tmpl w:val="5C3F2108"/>
    <w:lvl w:ilvl="0" w:tentative="0">
      <w:start w:val="1"/>
      <w:numFmt w:val="bullet"/>
      <w:lvlText w:val=""/>
      <w:lvlJc w:val="left"/>
      <w:pPr>
        <w:ind w:left="420" w:hanging="420"/>
      </w:pPr>
      <w:rPr>
        <w:rFonts w:hint="default" w:ascii="Wingdings" w:hAnsi="Wingdings"/>
      </w:rPr>
    </w:lvl>
  </w:abstractNum>
  <w:abstractNum w:abstractNumId="20">
    <w:nsid w:val="5D611A18"/>
    <w:multiLevelType w:val="multilevel"/>
    <w:tmpl w:val="5D611A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F9BAE73"/>
    <w:multiLevelType w:val="multilevel"/>
    <w:tmpl w:val="5F9BAE73"/>
    <w:lvl w:ilvl="0" w:tentative="0">
      <w:start w:val="6"/>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6825279A"/>
    <w:multiLevelType w:val="multilevel"/>
    <w:tmpl w:val="6825279A"/>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69152812"/>
    <w:multiLevelType w:val="multilevel"/>
    <w:tmpl w:val="6915281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6A7B33D3"/>
    <w:multiLevelType w:val="multilevel"/>
    <w:tmpl w:val="6A7B33D3"/>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5">
    <w:nsid w:val="7E636400"/>
    <w:multiLevelType w:val="multilevel"/>
    <w:tmpl w:val="7E636400"/>
    <w:lvl w:ilvl="0" w:tentative="0">
      <w:start w:val="0"/>
      <w:numFmt w:val="bullet"/>
      <w:lvlText w:val="-"/>
      <w:lvlJc w:val="left"/>
      <w:pPr>
        <w:tabs>
          <w:tab w:val="left" w:pos="1080"/>
        </w:tabs>
        <w:ind w:left="1080" w:hanging="360"/>
      </w:pPr>
      <w:rPr>
        <w:rFonts w:hint="default" w:ascii="Calibri" w:hAnsi="Calibri" w:eastAsia="等线" w:cs="Calibri"/>
        <w:sz w:val="20"/>
      </w:rPr>
    </w:lvl>
    <w:lvl w:ilvl="1" w:tentative="0">
      <w:start w:val="1"/>
      <w:numFmt w:val="bullet"/>
      <w:lvlText w:val=""/>
      <w:lvlJc w:val="left"/>
      <w:pPr>
        <w:tabs>
          <w:tab w:val="left" w:pos="1800"/>
        </w:tabs>
        <w:ind w:left="1800" w:hanging="360"/>
      </w:pPr>
      <w:rPr>
        <w:rFonts w:hint="default" w:ascii="Symbol" w:hAnsi="Symbol"/>
        <w:sz w:val="20"/>
      </w:rPr>
    </w:lvl>
    <w:lvl w:ilvl="2" w:tentative="0">
      <w:start w:val="1"/>
      <w:numFmt w:val="bullet"/>
      <w:lvlText w:val=""/>
      <w:lvlJc w:val="left"/>
      <w:pPr>
        <w:tabs>
          <w:tab w:val="left" w:pos="2520"/>
        </w:tabs>
        <w:ind w:left="2520" w:hanging="360"/>
      </w:pPr>
      <w:rPr>
        <w:rFonts w:hint="default" w:ascii="Symbol" w:hAnsi="Symbol"/>
        <w:sz w:val="20"/>
      </w:rPr>
    </w:lvl>
    <w:lvl w:ilvl="3" w:tentative="0">
      <w:start w:val="1"/>
      <w:numFmt w:val="bullet"/>
      <w:lvlText w:val=""/>
      <w:lvlJc w:val="left"/>
      <w:pPr>
        <w:tabs>
          <w:tab w:val="left" w:pos="3240"/>
        </w:tabs>
        <w:ind w:left="3240" w:hanging="360"/>
      </w:pPr>
      <w:rPr>
        <w:rFonts w:hint="default" w:ascii="Symbol" w:hAnsi="Symbol"/>
        <w:sz w:val="20"/>
      </w:rPr>
    </w:lvl>
    <w:lvl w:ilvl="4" w:tentative="0">
      <w:start w:val="1"/>
      <w:numFmt w:val="bullet"/>
      <w:lvlText w:val=""/>
      <w:lvlJc w:val="left"/>
      <w:pPr>
        <w:tabs>
          <w:tab w:val="left" w:pos="3960"/>
        </w:tabs>
        <w:ind w:left="3960" w:hanging="360"/>
      </w:pPr>
      <w:rPr>
        <w:rFonts w:hint="default" w:ascii="Symbol" w:hAnsi="Symbol"/>
        <w:sz w:val="20"/>
      </w:rPr>
    </w:lvl>
    <w:lvl w:ilvl="5" w:tentative="0">
      <w:start w:val="1"/>
      <w:numFmt w:val="bullet"/>
      <w:lvlText w:val=""/>
      <w:lvlJc w:val="left"/>
      <w:pPr>
        <w:tabs>
          <w:tab w:val="left" w:pos="4680"/>
        </w:tabs>
        <w:ind w:left="4680" w:hanging="360"/>
      </w:pPr>
      <w:rPr>
        <w:rFonts w:hint="default" w:ascii="Symbol" w:hAnsi="Symbol"/>
        <w:sz w:val="20"/>
      </w:rPr>
    </w:lvl>
    <w:lvl w:ilvl="6" w:tentative="0">
      <w:start w:val="1"/>
      <w:numFmt w:val="bullet"/>
      <w:lvlText w:val=""/>
      <w:lvlJc w:val="left"/>
      <w:pPr>
        <w:tabs>
          <w:tab w:val="left" w:pos="5400"/>
        </w:tabs>
        <w:ind w:left="5400" w:hanging="360"/>
      </w:pPr>
      <w:rPr>
        <w:rFonts w:hint="default" w:ascii="Symbol" w:hAnsi="Symbol"/>
        <w:sz w:val="20"/>
      </w:rPr>
    </w:lvl>
    <w:lvl w:ilvl="7" w:tentative="0">
      <w:start w:val="1"/>
      <w:numFmt w:val="bullet"/>
      <w:lvlText w:val=""/>
      <w:lvlJc w:val="left"/>
      <w:pPr>
        <w:tabs>
          <w:tab w:val="left" w:pos="6120"/>
        </w:tabs>
        <w:ind w:left="6120" w:hanging="360"/>
      </w:pPr>
      <w:rPr>
        <w:rFonts w:hint="default" w:ascii="Symbol" w:hAnsi="Symbol"/>
        <w:sz w:val="20"/>
      </w:rPr>
    </w:lvl>
    <w:lvl w:ilvl="8" w:tentative="0">
      <w:start w:val="1"/>
      <w:numFmt w:val="bullet"/>
      <w:lvlText w:val=""/>
      <w:lvlJc w:val="left"/>
      <w:pPr>
        <w:tabs>
          <w:tab w:val="left" w:pos="6840"/>
        </w:tabs>
        <w:ind w:left="6840" w:hanging="360"/>
      </w:pPr>
      <w:rPr>
        <w:rFonts w:hint="default" w:ascii="Symbol" w:hAnsi="Symbol"/>
        <w:sz w:val="20"/>
      </w:rPr>
    </w:lvl>
  </w:abstractNum>
  <w:num w:numId="1">
    <w:abstractNumId w:val="10"/>
  </w:num>
  <w:num w:numId="2">
    <w:abstractNumId w:val="2"/>
  </w:num>
  <w:num w:numId="3">
    <w:abstractNumId w:val="6"/>
  </w:num>
  <w:num w:numId="4">
    <w:abstractNumId w:val="13"/>
  </w:num>
  <w:num w:numId="5">
    <w:abstractNumId w:val="21"/>
  </w:num>
  <w:num w:numId="6">
    <w:abstractNumId w:val="24"/>
  </w:num>
  <w:num w:numId="7">
    <w:abstractNumId w:val="7"/>
  </w:num>
  <w:num w:numId="8">
    <w:abstractNumId w:val="14"/>
  </w:num>
  <w:num w:numId="9">
    <w:abstractNumId w:val="22"/>
  </w:num>
  <w:num w:numId="10">
    <w:abstractNumId w:val="16"/>
  </w:num>
  <w:num w:numId="11">
    <w:abstractNumId w:val="8"/>
  </w:num>
  <w:num w:numId="12">
    <w:abstractNumId w:val="15"/>
  </w:num>
  <w:num w:numId="13">
    <w:abstractNumId w:val="19"/>
  </w:num>
  <w:num w:numId="14">
    <w:abstractNumId w:val="20"/>
  </w:num>
  <w:num w:numId="15">
    <w:abstractNumId w:val="12"/>
  </w:num>
  <w:num w:numId="16">
    <w:abstractNumId w:val="25"/>
  </w:num>
  <w:num w:numId="17">
    <w:abstractNumId w:val="1"/>
  </w:num>
  <w:num w:numId="18">
    <w:abstractNumId w:val="4"/>
  </w:num>
  <w:num w:numId="19">
    <w:abstractNumId w:val="9"/>
  </w:num>
  <w:num w:numId="20">
    <w:abstractNumId w:val="5"/>
  </w:num>
  <w:num w:numId="21">
    <w:abstractNumId w:val="18"/>
  </w:num>
  <w:num w:numId="22">
    <w:abstractNumId w:val="3"/>
  </w:num>
  <w:num w:numId="23">
    <w:abstractNumId w:val="0"/>
  </w:num>
  <w:num w:numId="24">
    <w:abstractNumId w:val="11"/>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70F0"/>
    <w:rsid w:val="00AE732B"/>
    <w:rsid w:val="00AE7518"/>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36482"/>
    <w:rsid w:val="01F4101C"/>
    <w:rsid w:val="01F473CB"/>
    <w:rsid w:val="01F5589F"/>
    <w:rsid w:val="01F82D24"/>
    <w:rsid w:val="01FD51F1"/>
    <w:rsid w:val="01FE3DEF"/>
    <w:rsid w:val="02006E9F"/>
    <w:rsid w:val="02012FA6"/>
    <w:rsid w:val="02090CFB"/>
    <w:rsid w:val="020B55A3"/>
    <w:rsid w:val="020B64C6"/>
    <w:rsid w:val="020C46E3"/>
    <w:rsid w:val="020C7A72"/>
    <w:rsid w:val="020F0A53"/>
    <w:rsid w:val="0210087D"/>
    <w:rsid w:val="02121935"/>
    <w:rsid w:val="0213694E"/>
    <w:rsid w:val="02141CFB"/>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63075E"/>
    <w:rsid w:val="026366BD"/>
    <w:rsid w:val="02643DBB"/>
    <w:rsid w:val="02683E5D"/>
    <w:rsid w:val="02694556"/>
    <w:rsid w:val="026D6E1D"/>
    <w:rsid w:val="026E4FF0"/>
    <w:rsid w:val="0272371C"/>
    <w:rsid w:val="0279141E"/>
    <w:rsid w:val="02816A16"/>
    <w:rsid w:val="02850C76"/>
    <w:rsid w:val="02881878"/>
    <w:rsid w:val="02884D22"/>
    <w:rsid w:val="02897B0D"/>
    <w:rsid w:val="028B43CF"/>
    <w:rsid w:val="028D5083"/>
    <w:rsid w:val="02911C0E"/>
    <w:rsid w:val="02923407"/>
    <w:rsid w:val="02926F66"/>
    <w:rsid w:val="0295017D"/>
    <w:rsid w:val="02980BB5"/>
    <w:rsid w:val="02A454E1"/>
    <w:rsid w:val="02A51C2A"/>
    <w:rsid w:val="02A608F9"/>
    <w:rsid w:val="02A64C6D"/>
    <w:rsid w:val="02AE74F1"/>
    <w:rsid w:val="02AF0F75"/>
    <w:rsid w:val="02B23334"/>
    <w:rsid w:val="02B350A6"/>
    <w:rsid w:val="02B86D86"/>
    <w:rsid w:val="02BE34FC"/>
    <w:rsid w:val="02BF33C7"/>
    <w:rsid w:val="02C250DE"/>
    <w:rsid w:val="02C346C6"/>
    <w:rsid w:val="02CB318E"/>
    <w:rsid w:val="02D837DA"/>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7021F"/>
    <w:rsid w:val="03195942"/>
    <w:rsid w:val="0319759C"/>
    <w:rsid w:val="031F0D91"/>
    <w:rsid w:val="032047F5"/>
    <w:rsid w:val="032756B6"/>
    <w:rsid w:val="032979AF"/>
    <w:rsid w:val="032F14A8"/>
    <w:rsid w:val="03345E69"/>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F15F02"/>
    <w:rsid w:val="03F22B4F"/>
    <w:rsid w:val="03F25073"/>
    <w:rsid w:val="03F44BEB"/>
    <w:rsid w:val="03FA63C4"/>
    <w:rsid w:val="03FB37B1"/>
    <w:rsid w:val="03FB3B31"/>
    <w:rsid w:val="03FE072E"/>
    <w:rsid w:val="03FF32CE"/>
    <w:rsid w:val="04007820"/>
    <w:rsid w:val="0407149F"/>
    <w:rsid w:val="04085AC5"/>
    <w:rsid w:val="040907E6"/>
    <w:rsid w:val="040D09A7"/>
    <w:rsid w:val="040F0473"/>
    <w:rsid w:val="04155F5B"/>
    <w:rsid w:val="042142F2"/>
    <w:rsid w:val="04222EF0"/>
    <w:rsid w:val="04251C2B"/>
    <w:rsid w:val="04261F7C"/>
    <w:rsid w:val="042827BF"/>
    <w:rsid w:val="04282C2D"/>
    <w:rsid w:val="042F523F"/>
    <w:rsid w:val="04324D45"/>
    <w:rsid w:val="04343F5E"/>
    <w:rsid w:val="043B4BBE"/>
    <w:rsid w:val="04464EB7"/>
    <w:rsid w:val="04486CDC"/>
    <w:rsid w:val="044E7C06"/>
    <w:rsid w:val="04520C2F"/>
    <w:rsid w:val="0454366F"/>
    <w:rsid w:val="045B780E"/>
    <w:rsid w:val="045E58B9"/>
    <w:rsid w:val="04627DC2"/>
    <w:rsid w:val="04630BA7"/>
    <w:rsid w:val="046A149D"/>
    <w:rsid w:val="046A75AA"/>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A33BC"/>
    <w:rsid w:val="050C7E97"/>
    <w:rsid w:val="0512368C"/>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4349B8"/>
    <w:rsid w:val="054366FB"/>
    <w:rsid w:val="054428B5"/>
    <w:rsid w:val="05447AFA"/>
    <w:rsid w:val="054A2A50"/>
    <w:rsid w:val="054D015B"/>
    <w:rsid w:val="054E139C"/>
    <w:rsid w:val="05501159"/>
    <w:rsid w:val="05505897"/>
    <w:rsid w:val="0553438E"/>
    <w:rsid w:val="05543708"/>
    <w:rsid w:val="055563AC"/>
    <w:rsid w:val="056739B7"/>
    <w:rsid w:val="05676934"/>
    <w:rsid w:val="056805D8"/>
    <w:rsid w:val="0573788E"/>
    <w:rsid w:val="057621F4"/>
    <w:rsid w:val="0577733C"/>
    <w:rsid w:val="05783AD5"/>
    <w:rsid w:val="057A47DB"/>
    <w:rsid w:val="057E01D9"/>
    <w:rsid w:val="057E1ECA"/>
    <w:rsid w:val="057E4573"/>
    <w:rsid w:val="057F5FE2"/>
    <w:rsid w:val="0581625A"/>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F357C"/>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91A69"/>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F418CB"/>
    <w:rsid w:val="08F6319A"/>
    <w:rsid w:val="08F65922"/>
    <w:rsid w:val="08F65A1B"/>
    <w:rsid w:val="08F95574"/>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A138B"/>
    <w:rsid w:val="096B78B5"/>
    <w:rsid w:val="09712EB3"/>
    <w:rsid w:val="09775011"/>
    <w:rsid w:val="097979DC"/>
    <w:rsid w:val="097A3E1C"/>
    <w:rsid w:val="097A6611"/>
    <w:rsid w:val="097F2F81"/>
    <w:rsid w:val="0980650D"/>
    <w:rsid w:val="098155C7"/>
    <w:rsid w:val="09842669"/>
    <w:rsid w:val="0985518F"/>
    <w:rsid w:val="09881615"/>
    <w:rsid w:val="098860D1"/>
    <w:rsid w:val="098A5AB5"/>
    <w:rsid w:val="098C0BB5"/>
    <w:rsid w:val="098C5D00"/>
    <w:rsid w:val="098C6F4D"/>
    <w:rsid w:val="09965AEE"/>
    <w:rsid w:val="09973371"/>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326751"/>
    <w:rsid w:val="0A333D23"/>
    <w:rsid w:val="0A3404EE"/>
    <w:rsid w:val="0A340D57"/>
    <w:rsid w:val="0A3728F9"/>
    <w:rsid w:val="0A3929BF"/>
    <w:rsid w:val="0A444451"/>
    <w:rsid w:val="0A463584"/>
    <w:rsid w:val="0A4B759E"/>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27C3A"/>
    <w:rsid w:val="0AE46BC4"/>
    <w:rsid w:val="0AE53B92"/>
    <w:rsid w:val="0AEB19FB"/>
    <w:rsid w:val="0AF050D9"/>
    <w:rsid w:val="0AF25C12"/>
    <w:rsid w:val="0AF57B25"/>
    <w:rsid w:val="0AF71EB2"/>
    <w:rsid w:val="0AF802C4"/>
    <w:rsid w:val="0AFA0740"/>
    <w:rsid w:val="0AFA0E95"/>
    <w:rsid w:val="0B01276B"/>
    <w:rsid w:val="0B0369AF"/>
    <w:rsid w:val="0B0458A8"/>
    <w:rsid w:val="0B047716"/>
    <w:rsid w:val="0B096F7F"/>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467E0"/>
    <w:rsid w:val="0B952CB4"/>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75E7"/>
    <w:rsid w:val="0BE2789C"/>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515919"/>
    <w:rsid w:val="0C55338F"/>
    <w:rsid w:val="0C5577EB"/>
    <w:rsid w:val="0C581814"/>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E447A"/>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F339C"/>
    <w:rsid w:val="0D507F99"/>
    <w:rsid w:val="0D533B38"/>
    <w:rsid w:val="0D5C27E8"/>
    <w:rsid w:val="0D5D0D59"/>
    <w:rsid w:val="0D5D462A"/>
    <w:rsid w:val="0D5F69EA"/>
    <w:rsid w:val="0D617912"/>
    <w:rsid w:val="0D6372C3"/>
    <w:rsid w:val="0D645433"/>
    <w:rsid w:val="0D652B72"/>
    <w:rsid w:val="0D665951"/>
    <w:rsid w:val="0D6667A6"/>
    <w:rsid w:val="0D666ACC"/>
    <w:rsid w:val="0D6A6258"/>
    <w:rsid w:val="0D6D02D2"/>
    <w:rsid w:val="0D6E5110"/>
    <w:rsid w:val="0D6E6D10"/>
    <w:rsid w:val="0D704C8F"/>
    <w:rsid w:val="0D715DE4"/>
    <w:rsid w:val="0D7466F5"/>
    <w:rsid w:val="0D782183"/>
    <w:rsid w:val="0D7B5452"/>
    <w:rsid w:val="0D7C190F"/>
    <w:rsid w:val="0D7E044D"/>
    <w:rsid w:val="0D7F5F50"/>
    <w:rsid w:val="0D85738D"/>
    <w:rsid w:val="0D8D594E"/>
    <w:rsid w:val="0D8F5055"/>
    <w:rsid w:val="0D982389"/>
    <w:rsid w:val="0D9B564C"/>
    <w:rsid w:val="0DA05989"/>
    <w:rsid w:val="0DA1493A"/>
    <w:rsid w:val="0DA401E1"/>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5C0C"/>
    <w:rsid w:val="0E2C67A2"/>
    <w:rsid w:val="0E2E56FA"/>
    <w:rsid w:val="0E325A6D"/>
    <w:rsid w:val="0E33559D"/>
    <w:rsid w:val="0E35512F"/>
    <w:rsid w:val="0E362B92"/>
    <w:rsid w:val="0E366F09"/>
    <w:rsid w:val="0E3A0BBD"/>
    <w:rsid w:val="0E3E5814"/>
    <w:rsid w:val="0E3F5698"/>
    <w:rsid w:val="0E406B32"/>
    <w:rsid w:val="0E434903"/>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A7CFD"/>
    <w:rsid w:val="0EAE2563"/>
    <w:rsid w:val="0EAE3E2D"/>
    <w:rsid w:val="0EB3137D"/>
    <w:rsid w:val="0EB318DE"/>
    <w:rsid w:val="0EB52315"/>
    <w:rsid w:val="0EB84AB6"/>
    <w:rsid w:val="0EB976EC"/>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2C44F2"/>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A61EE"/>
    <w:rsid w:val="0F8B0523"/>
    <w:rsid w:val="0F8B64A8"/>
    <w:rsid w:val="0F8B6A7D"/>
    <w:rsid w:val="0F950C14"/>
    <w:rsid w:val="0FA1061B"/>
    <w:rsid w:val="0FA24896"/>
    <w:rsid w:val="0FA51405"/>
    <w:rsid w:val="0FA51830"/>
    <w:rsid w:val="0FA61AB9"/>
    <w:rsid w:val="0FA914CC"/>
    <w:rsid w:val="0FAF7EDA"/>
    <w:rsid w:val="0FB14C64"/>
    <w:rsid w:val="0FB4699C"/>
    <w:rsid w:val="0FBA15CB"/>
    <w:rsid w:val="0FBA48F2"/>
    <w:rsid w:val="0FBA74FE"/>
    <w:rsid w:val="0FC47113"/>
    <w:rsid w:val="0FC51A02"/>
    <w:rsid w:val="0FC6018D"/>
    <w:rsid w:val="0FCD10B3"/>
    <w:rsid w:val="0FCD3797"/>
    <w:rsid w:val="0FCE732A"/>
    <w:rsid w:val="0FD05A18"/>
    <w:rsid w:val="0FD53CC0"/>
    <w:rsid w:val="0FDC156D"/>
    <w:rsid w:val="0FDD409A"/>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F440ED"/>
    <w:rsid w:val="10F451BC"/>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4034"/>
    <w:rsid w:val="11606DC1"/>
    <w:rsid w:val="11626DB8"/>
    <w:rsid w:val="11633057"/>
    <w:rsid w:val="11635BD3"/>
    <w:rsid w:val="11640979"/>
    <w:rsid w:val="11643702"/>
    <w:rsid w:val="11652DCA"/>
    <w:rsid w:val="11683084"/>
    <w:rsid w:val="116976C7"/>
    <w:rsid w:val="116F5A47"/>
    <w:rsid w:val="11704DAD"/>
    <w:rsid w:val="11712BC3"/>
    <w:rsid w:val="11730FF1"/>
    <w:rsid w:val="117616E4"/>
    <w:rsid w:val="117953BE"/>
    <w:rsid w:val="1182106E"/>
    <w:rsid w:val="1186134B"/>
    <w:rsid w:val="118A2800"/>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E5040"/>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6092A"/>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C4775"/>
    <w:rsid w:val="12310EF8"/>
    <w:rsid w:val="1234470C"/>
    <w:rsid w:val="123A6DD8"/>
    <w:rsid w:val="123D7968"/>
    <w:rsid w:val="123F4E21"/>
    <w:rsid w:val="12432478"/>
    <w:rsid w:val="124374F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670C0"/>
    <w:rsid w:val="1289393C"/>
    <w:rsid w:val="128A108B"/>
    <w:rsid w:val="128B01B8"/>
    <w:rsid w:val="128B2AB4"/>
    <w:rsid w:val="1292025B"/>
    <w:rsid w:val="129277BA"/>
    <w:rsid w:val="129855DE"/>
    <w:rsid w:val="129906D5"/>
    <w:rsid w:val="129A238B"/>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F1518"/>
    <w:rsid w:val="136F311A"/>
    <w:rsid w:val="137143D8"/>
    <w:rsid w:val="13785DF8"/>
    <w:rsid w:val="137A5DBD"/>
    <w:rsid w:val="137B16DA"/>
    <w:rsid w:val="137B1E71"/>
    <w:rsid w:val="137C5854"/>
    <w:rsid w:val="137E02B6"/>
    <w:rsid w:val="13805505"/>
    <w:rsid w:val="13842181"/>
    <w:rsid w:val="138704DF"/>
    <w:rsid w:val="13902FDD"/>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760E2"/>
    <w:rsid w:val="143C4416"/>
    <w:rsid w:val="144C208D"/>
    <w:rsid w:val="144F0B3A"/>
    <w:rsid w:val="145205CA"/>
    <w:rsid w:val="14526B1D"/>
    <w:rsid w:val="1457468E"/>
    <w:rsid w:val="145E5409"/>
    <w:rsid w:val="145E5731"/>
    <w:rsid w:val="14672BDA"/>
    <w:rsid w:val="146A5866"/>
    <w:rsid w:val="146F66BB"/>
    <w:rsid w:val="1471140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B43D0"/>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C3BF1"/>
    <w:rsid w:val="15FF2640"/>
    <w:rsid w:val="15FF5EF9"/>
    <w:rsid w:val="16007C02"/>
    <w:rsid w:val="1602232A"/>
    <w:rsid w:val="160511C6"/>
    <w:rsid w:val="16051FDC"/>
    <w:rsid w:val="1607235F"/>
    <w:rsid w:val="1607316E"/>
    <w:rsid w:val="1608100D"/>
    <w:rsid w:val="1608316A"/>
    <w:rsid w:val="160B0B75"/>
    <w:rsid w:val="160B6225"/>
    <w:rsid w:val="160C082E"/>
    <w:rsid w:val="160C6AAA"/>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73BB0"/>
    <w:rsid w:val="16273FB8"/>
    <w:rsid w:val="16281E46"/>
    <w:rsid w:val="16296BBD"/>
    <w:rsid w:val="162E5D9F"/>
    <w:rsid w:val="162F3379"/>
    <w:rsid w:val="16392A66"/>
    <w:rsid w:val="163B51FF"/>
    <w:rsid w:val="163C1F41"/>
    <w:rsid w:val="163C495D"/>
    <w:rsid w:val="16402198"/>
    <w:rsid w:val="1640665E"/>
    <w:rsid w:val="16451889"/>
    <w:rsid w:val="1647712D"/>
    <w:rsid w:val="16477204"/>
    <w:rsid w:val="164C1B21"/>
    <w:rsid w:val="164C2A4A"/>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B567C"/>
    <w:rsid w:val="168C4FF2"/>
    <w:rsid w:val="168D1235"/>
    <w:rsid w:val="168F158E"/>
    <w:rsid w:val="16916A90"/>
    <w:rsid w:val="169645A6"/>
    <w:rsid w:val="1699086A"/>
    <w:rsid w:val="16996645"/>
    <w:rsid w:val="169A07FE"/>
    <w:rsid w:val="169B3AFB"/>
    <w:rsid w:val="169C4094"/>
    <w:rsid w:val="169E643C"/>
    <w:rsid w:val="16A5388D"/>
    <w:rsid w:val="16A86CA1"/>
    <w:rsid w:val="16AB2778"/>
    <w:rsid w:val="16AE22EF"/>
    <w:rsid w:val="16B00129"/>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D13E2D"/>
    <w:rsid w:val="17D3197D"/>
    <w:rsid w:val="17D37AC4"/>
    <w:rsid w:val="17D409E1"/>
    <w:rsid w:val="17D53F6E"/>
    <w:rsid w:val="17D80A06"/>
    <w:rsid w:val="17DD1CC4"/>
    <w:rsid w:val="17DD6FB9"/>
    <w:rsid w:val="17E50CD9"/>
    <w:rsid w:val="17E93116"/>
    <w:rsid w:val="17F25D18"/>
    <w:rsid w:val="17F314F0"/>
    <w:rsid w:val="17F322B2"/>
    <w:rsid w:val="17F51567"/>
    <w:rsid w:val="17F742B6"/>
    <w:rsid w:val="17FA033C"/>
    <w:rsid w:val="17FB62B0"/>
    <w:rsid w:val="1801398E"/>
    <w:rsid w:val="1804167E"/>
    <w:rsid w:val="180567E8"/>
    <w:rsid w:val="18062279"/>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42A3B"/>
    <w:rsid w:val="18343729"/>
    <w:rsid w:val="18344AFE"/>
    <w:rsid w:val="18411ECD"/>
    <w:rsid w:val="18504D88"/>
    <w:rsid w:val="18534C5C"/>
    <w:rsid w:val="185433BD"/>
    <w:rsid w:val="18570AD5"/>
    <w:rsid w:val="185B3389"/>
    <w:rsid w:val="185B62F4"/>
    <w:rsid w:val="185B7CD9"/>
    <w:rsid w:val="18607E5A"/>
    <w:rsid w:val="1865608A"/>
    <w:rsid w:val="18661FBD"/>
    <w:rsid w:val="1866750B"/>
    <w:rsid w:val="186A215B"/>
    <w:rsid w:val="186A4295"/>
    <w:rsid w:val="186B3879"/>
    <w:rsid w:val="186E02A8"/>
    <w:rsid w:val="186F4FB5"/>
    <w:rsid w:val="18732F81"/>
    <w:rsid w:val="187479FA"/>
    <w:rsid w:val="1879383C"/>
    <w:rsid w:val="187F595A"/>
    <w:rsid w:val="18826B78"/>
    <w:rsid w:val="18892051"/>
    <w:rsid w:val="188A50C3"/>
    <w:rsid w:val="188B7649"/>
    <w:rsid w:val="188C0339"/>
    <w:rsid w:val="189069CC"/>
    <w:rsid w:val="1891192D"/>
    <w:rsid w:val="1892531D"/>
    <w:rsid w:val="189441BD"/>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024D1"/>
    <w:rsid w:val="18E9561A"/>
    <w:rsid w:val="18F03349"/>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D164C"/>
    <w:rsid w:val="192F0077"/>
    <w:rsid w:val="19344521"/>
    <w:rsid w:val="193F17C8"/>
    <w:rsid w:val="19433D41"/>
    <w:rsid w:val="194C3A8F"/>
    <w:rsid w:val="194D4F82"/>
    <w:rsid w:val="194D7925"/>
    <w:rsid w:val="194F69A6"/>
    <w:rsid w:val="1950570D"/>
    <w:rsid w:val="19512E68"/>
    <w:rsid w:val="19551BB7"/>
    <w:rsid w:val="19562CA8"/>
    <w:rsid w:val="19604CBC"/>
    <w:rsid w:val="19622BBE"/>
    <w:rsid w:val="196425B7"/>
    <w:rsid w:val="19665E27"/>
    <w:rsid w:val="196666AF"/>
    <w:rsid w:val="19685F92"/>
    <w:rsid w:val="1969214C"/>
    <w:rsid w:val="196E624F"/>
    <w:rsid w:val="19715351"/>
    <w:rsid w:val="19764163"/>
    <w:rsid w:val="197C4E4F"/>
    <w:rsid w:val="197D41E7"/>
    <w:rsid w:val="197F5E82"/>
    <w:rsid w:val="19806A64"/>
    <w:rsid w:val="1989430A"/>
    <w:rsid w:val="198A05E8"/>
    <w:rsid w:val="19917D8D"/>
    <w:rsid w:val="19921804"/>
    <w:rsid w:val="199E76BA"/>
    <w:rsid w:val="19A24A4C"/>
    <w:rsid w:val="19A27A8D"/>
    <w:rsid w:val="19A42FDC"/>
    <w:rsid w:val="19AA0147"/>
    <w:rsid w:val="19AE0D9A"/>
    <w:rsid w:val="19AE732F"/>
    <w:rsid w:val="19B26EAB"/>
    <w:rsid w:val="19B42E83"/>
    <w:rsid w:val="19B476A3"/>
    <w:rsid w:val="19B753AA"/>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C714E"/>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0AF"/>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E4433"/>
    <w:rsid w:val="1B574BEB"/>
    <w:rsid w:val="1B5A43F9"/>
    <w:rsid w:val="1B5C295C"/>
    <w:rsid w:val="1B5E4193"/>
    <w:rsid w:val="1B6121EC"/>
    <w:rsid w:val="1B63544D"/>
    <w:rsid w:val="1B637764"/>
    <w:rsid w:val="1B660A00"/>
    <w:rsid w:val="1B695370"/>
    <w:rsid w:val="1B6B3DE8"/>
    <w:rsid w:val="1B7178B0"/>
    <w:rsid w:val="1B73329B"/>
    <w:rsid w:val="1B745B29"/>
    <w:rsid w:val="1B781A26"/>
    <w:rsid w:val="1B7975E3"/>
    <w:rsid w:val="1B7E34B1"/>
    <w:rsid w:val="1B84385B"/>
    <w:rsid w:val="1B883421"/>
    <w:rsid w:val="1B896C87"/>
    <w:rsid w:val="1B8A641C"/>
    <w:rsid w:val="1B8C0DEC"/>
    <w:rsid w:val="1B957490"/>
    <w:rsid w:val="1B96385E"/>
    <w:rsid w:val="1B9A50B4"/>
    <w:rsid w:val="1B9B1E83"/>
    <w:rsid w:val="1B9D5E8A"/>
    <w:rsid w:val="1BA54D43"/>
    <w:rsid w:val="1BA8258E"/>
    <w:rsid w:val="1BAC0A69"/>
    <w:rsid w:val="1BAC45F6"/>
    <w:rsid w:val="1BB077E1"/>
    <w:rsid w:val="1BB5108C"/>
    <w:rsid w:val="1BB85CDA"/>
    <w:rsid w:val="1BBA2835"/>
    <w:rsid w:val="1BBA6D0F"/>
    <w:rsid w:val="1BBB7685"/>
    <w:rsid w:val="1BBE680B"/>
    <w:rsid w:val="1BC153DF"/>
    <w:rsid w:val="1BC34EEB"/>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63BF9"/>
    <w:rsid w:val="1C364A9A"/>
    <w:rsid w:val="1C371826"/>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E5FE4"/>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D4946"/>
    <w:rsid w:val="1CD50C21"/>
    <w:rsid w:val="1CD77F7A"/>
    <w:rsid w:val="1CDF2A6D"/>
    <w:rsid w:val="1CE06A42"/>
    <w:rsid w:val="1CE43768"/>
    <w:rsid w:val="1CED50D5"/>
    <w:rsid w:val="1CF00581"/>
    <w:rsid w:val="1CF02F49"/>
    <w:rsid w:val="1CF322E0"/>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362B4C"/>
    <w:rsid w:val="1D37298A"/>
    <w:rsid w:val="1D373AF2"/>
    <w:rsid w:val="1D380FF9"/>
    <w:rsid w:val="1D3901B4"/>
    <w:rsid w:val="1D3C565D"/>
    <w:rsid w:val="1D3C5867"/>
    <w:rsid w:val="1D3F18B0"/>
    <w:rsid w:val="1D3F573B"/>
    <w:rsid w:val="1D4043D7"/>
    <w:rsid w:val="1D426D1A"/>
    <w:rsid w:val="1D467A44"/>
    <w:rsid w:val="1D473E5F"/>
    <w:rsid w:val="1D481812"/>
    <w:rsid w:val="1D4C66C3"/>
    <w:rsid w:val="1D4D6572"/>
    <w:rsid w:val="1D4F3806"/>
    <w:rsid w:val="1D527734"/>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E0159"/>
    <w:rsid w:val="1DBE389C"/>
    <w:rsid w:val="1DBF15E9"/>
    <w:rsid w:val="1DC02860"/>
    <w:rsid w:val="1DC128C3"/>
    <w:rsid w:val="1DC566AB"/>
    <w:rsid w:val="1DC60B83"/>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32B1D"/>
    <w:rsid w:val="1E036A31"/>
    <w:rsid w:val="1E0521CC"/>
    <w:rsid w:val="1E053714"/>
    <w:rsid w:val="1E055A90"/>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430A7"/>
    <w:rsid w:val="1E885C1B"/>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33652"/>
    <w:rsid w:val="1F637D9E"/>
    <w:rsid w:val="1F661A67"/>
    <w:rsid w:val="1F6929CD"/>
    <w:rsid w:val="1F6D4D52"/>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854DC"/>
    <w:rsid w:val="205966D6"/>
    <w:rsid w:val="205C7309"/>
    <w:rsid w:val="20635328"/>
    <w:rsid w:val="20672A4F"/>
    <w:rsid w:val="206D37CE"/>
    <w:rsid w:val="206D7D7B"/>
    <w:rsid w:val="2071729D"/>
    <w:rsid w:val="20720AD0"/>
    <w:rsid w:val="207C4B91"/>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06261"/>
    <w:rsid w:val="20B14C47"/>
    <w:rsid w:val="20B17276"/>
    <w:rsid w:val="20B20AF4"/>
    <w:rsid w:val="20B51C50"/>
    <w:rsid w:val="20B54822"/>
    <w:rsid w:val="20B634DB"/>
    <w:rsid w:val="20C10D50"/>
    <w:rsid w:val="20C116B2"/>
    <w:rsid w:val="20C637AC"/>
    <w:rsid w:val="20D20D15"/>
    <w:rsid w:val="20D65D43"/>
    <w:rsid w:val="20DF4D6C"/>
    <w:rsid w:val="20E356C4"/>
    <w:rsid w:val="20E76D34"/>
    <w:rsid w:val="20ED6253"/>
    <w:rsid w:val="20F103FE"/>
    <w:rsid w:val="20F3089A"/>
    <w:rsid w:val="20F403E0"/>
    <w:rsid w:val="20F52AB3"/>
    <w:rsid w:val="20FB3CB1"/>
    <w:rsid w:val="21026719"/>
    <w:rsid w:val="210369FB"/>
    <w:rsid w:val="210A3BD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B24AF"/>
    <w:rsid w:val="215215F8"/>
    <w:rsid w:val="21554C66"/>
    <w:rsid w:val="215B30BF"/>
    <w:rsid w:val="215D452F"/>
    <w:rsid w:val="216D11FA"/>
    <w:rsid w:val="216D2D21"/>
    <w:rsid w:val="21792903"/>
    <w:rsid w:val="217E18D6"/>
    <w:rsid w:val="217E4C9B"/>
    <w:rsid w:val="217F1CB5"/>
    <w:rsid w:val="21830D81"/>
    <w:rsid w:val="21850E53"/>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32624"/>
    <w:rsid w:val="21D42CB2"/>
    <w:rsid w:val="21D651C6"/>
    <w:rsid w:val="21E15542"/>
    <w:rsid w:val="21E15EFD"/>
    <w:rsid w:val="21E276C9"/>
    <w:rsid w:val="21E44633"/>
    <w:rsid w:val="21E706C5"/>
    <w:rsid w:val="21EC3F5C"/>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43E34"/>
    <w:rsid w:val="2219360C"/>
    <w:rsid w:val="221E2693"/>
    <w:rsid w:val="221E5D8B"/>
    <w:rsid w:val="22231B5B"/>
    <w:rsid w:val="22285116"/>
    <w:rsid w:val="222877ED"/>
    <w:rsid w:val="222B5F50"/>
    <w:rsid w:val="222C37B9"/>
    <w:rsid w:val="222F6CA1"/>
    <w:rsid w:val="223335C9"/>
    <w:rsid w:val="223571F1"/>
    <w:rsid w:val="2239654C"/>
    <w:rsid w:val="223D5C2C"/>
    <w:rsid w:val="22407E6C"/>
    <w:rsid w:val="22460EEE"/>
    <w:rsid w:val="22475434"/>
    <w:rsid w:val="224B4757"/>
    <w:rsid w:val="225032E2"/>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617AA"/>
    <w:rsid w:val="229D50FE"/>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7287C"/>
    <w:rsid w:val="22F9232A"/>
    <w:rsid w:val="22FD53CB"/>
    <w:rsid w:val="2300102A"/>
    <w:rsid w:val="23046040"/>
    <w:rsid w:val="230519B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A64B4"/>
    <w:rsid w:val="23515D91"/>
    <w:rsid w:val="23533E3C"/>
    <w:rsid w:val="23546D28"/>
    <w:rsid w:val="23555FBD"/>
    <w:rsid w:val="235614B8"/>
    <w:rsid w:val="2356164C"/>
    <w:rsid w:val="235F1484"/>
    <w:rsid w:val="2363529A"/>
    <w:rsid w:val="236C5362"/>
    <w:rsid w:val="236D72E0"/>
    <w:rsid w:val="236E4D82"/>
    <w:rsid w:val="23700127"/>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1F397B"/>
    <w:rsid w:val="2421526F"/>
    <w:rsid w:val="242568B6"/>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860F1"/>
    <w:rsid w:val="257A5F33"/>
    <w:rsid w:val="257D04A6"/>
    <w:rsid w:val="2580208C"/>
    <w:rsid w:val="25804EFC"/>
    <w:rsid w:val="25814B16"/>
    <w:rsid w:val="25826B54"/>
    <w:rsid w:val="25875351"/>
    <w:rsid w:val="258A0756"/>
    <w:rsid w:val="258A778D"/>
    <w:rsid w:val="258E0B5B"/>
    <w:rsid w:val="258F4ACF"/>
    <w:rsid w:val="25901A9F"/>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A243F"/>
    <w:rsid w:val="25ED6B7E"/>
    <w:rsid w:val="25ED6E30"/>
    <w:rsid w:val="25F05097"/>
    <w:rsid w:val="25F0536C"/>
    <w:rsid w:val="25F15A03"/>
    <w:rsid w:val="25F54ED1"/>
    <w:rsid w:val="25F87333"/>
    <w:rsid w:val="25F968A2"/>
    <w:rsid w:val="25FA2627"/>
    <w:rsid w:val="25FD08B5"/>
    <w:rsid w:val="2602375E"/>
    <w:rsid w:val="26104337"/>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C72"/>
    <w:rsid w:val="27894775"/>
    <w:rsid w:val="27895A79"/>
    <w:rsid w:val="278E3AED"/>
    <w:rsid w:val="278F155F"/>
    <w:rsid w:val="278F15A8"/>
    <w:rsid w:val="27934597"/>
    <w:rsid w:val="27961ADC"/>
    <w:rsid w:val="279A26BE"/>
    <w:rsid w:val="279B5F79"/>
    <w:rsid w:val="279D1D18"/>
    <w:rsid w:val="27A569AE"/>
    <w:rsid w:val="27A77A58"/>
    <w:rsid w:val="27A83504"/>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6636"/>
    <w:rsid w:val="282A4356"/>
    <w:rsid w:val="282E5681"/>
    <w:rsid w:val="283211CC"/>
    <w:rsid w:val="28340248"/>
    <w:rsid w:val="283465C6"/>
    <w:rsid w:val="283822FA"/>
    <w:rsid w:val="283A7B9E"/>
    <w:rsid w:val="283D51BC"/>
    <w:rsid w:val="283E6DAA"/>
    <w:rsid w:val="283F3F8E"/>
    <w:rsid w:val="28451C4E"/>
    <w:rsid w:val="28453C58"/>
    <w:rsid w:val="28463FD9"/>
    <w:rsid w:val="284A3967"/>
    <w:rsid w:val="284A3DED"/>
    <w:rsid w:val="284D7091"/>
    <w:rsid w:val="28572B93"/>
    <w:rsid w:val="28594E9F"/>
    <w:rsid w:val="285A71B8"/>
    <w:rsid w:val="285D63AB"/>
    <w:rsid w:val="28635977"/>
    <w:rsid w:val="286628BD"/>
    <w:rsid w:val="28666964"/>
    <w:rsid w:val="2867761F"/>
    <w:rsid w:val="28684CED"/>
    <w:rsid w:val="28690E82"/>
    <w:rsid w:val="286975B0"/>
    <w:rsid w:val="28703BF8"/>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75557"/>
    <w:rsid w:val="28D9251F"/>
    <w:rsid w:val="28DE51B7"/>
    <w:rsid w:val="28DE5DE5"/>
    <w:rsid w:val="28E61B4F"/>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23468"/>
    <w:rsid w:val="2913310C"/>
    <w:rsid w:val="29142C92"/>
    <w:rsid w:val="291A6D7B"/>
    <w:rsid w:val="291B0B1D"/>
    <w:rsid w:val="291C2967"/>
    <w:rsid w:val="29201D7A"/>
    <w:rsid w:val="29251741"/>
    <w:rsid w:val="29261DE7"/>
    <w:rsid w:val="292638EA"/>
    <w:rsid w:val="29294562"/>
    <w:rsid w:val="292945E3"/>
    <w:rsid w:val="292B11E5"/>
    <w:rsid w:val="292B1B70"/>
    <w:rsid w:val="292E438F"/>
    <w:rsid w:val="29362206"/>
    <w:rsid w:val="293737D0"/>
    <w:rsid w:val="293A16A0"/>
    <w:rsid w:val="293A38EF"/>
    <w:rsid w:val="293C1E1B"/>
    <w:rsid w:val="293C6BB9"/>
    <w:rsid w:val="293C6C49"/>
    <w:rsid w:val="294145CA"/>
    <w:rsid w:val="29432D9F"/>
    <w:rsid w:val="29470119"/>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6F43"/>
    <w:rsid w:val="2996329C"/>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501C6F"/>
    <w:rsid w:val="2A50644E"/>
    <w:rsid w:val="2A571542"/>
    <w:rsid w:val="2A585770"/>
    <w:rsid w:val="2A592D0F"/>
    <w:rsid w:val="2A5A1E29"/>
    <w:rsid w:val="2A5C085C"/>
    <w:rsid w:val="2A611C9F"/>
    <w:rsid w:val="2A653A65"/>
    <w:rsid w:val="2A6626CD"/>
    <w:rsid w:val="2A670DFB"/>
    <w:rsid w:val="2A681E23"/>
    <w:rsid w:val="2A692262"/>
    <w:rsid w:val="2A6A3C59"/>
    <w:rsid w:val="2A6E6D2C"/>
    <w:rsid w:val="2A7129D7"/>
    <w:rsid w:val="2A731100"/>
    <w:rsid w:val="2A733C64"/>
    <w:rsid w:val="2A742E3F"/>
    <w:rsid w:val="2A7479D1"/>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A139E"/>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F6DB1"/>
    <w:rsid w:val="2B8442FF"/>
    <w:rsid w:val="2B851AEB"/>
    <w:rsid w:val="2B854FD6"/>
    <w:rsid w:val="2B8B0C0F"/>
    <w:rsid w:val="2B8D6BD0"/>
    <w:rsid w:val="2B903338"/>
    <w:rsid w:val="2B962F11"/>
    <w:rsid w:val="2B966615"/>
    <w:rsid w:val="2B981F92"/>
    <w:rsid w:val="2B98649F"/>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4E56"/>
    <w:rsid w:val="2BF1374D"/>
    <w:rsid w:val="2BF2054C"/>
    <w:rsid w:val="2BF26BB7"/>
    <w:rsid w:val="2BF66CD5"/>
    <w:rsid w:val="2BF74F41"/>
    <w:rsid w:val="2BFA02AD"/>
    <w:rsid w:val="2BFE13E2"/>
    <w:rsid w:val="2C046404"/>
    <w:rsid w:val="2C051922"/>
    <w:rsid w:val="2C0C0512"/>
    <w:rsid w:val="2C0E2D47"/>
    <w:rsid w:val="2C1340C8"/>
    <w:rsid w:val="2C1349B3"/>
    <w:rsid w:val="2C1617C3"/>
    <w:rsid w:val="2C163054"/>
    <w:rsid w:val="2C1B0796"/>
    <w:rsid w:val="2C1E4E33"/>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74B7"/>
    <w:rsid w:val="2C4551C0"/>
    <w:rsid w:val="2C4B0ACC"/>
    <w:rsid w:val="2C4B57B7"/>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5033F"/>
    <w:rsid w:val="2CE7004C"/>
    <w:rsid w:val="2CE71B3B"/>
    <w:rsid w:val="2CE954A4"/>
    <w:rsid w:val="2CEB29ED"/>
    <w:rsid w:val="2CEF481A"/>
    <w:rsid w:val="2CF12EB6"/>
    <w:rsid w:val="2CF634B3"/>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D338E"/>
    <w:rsid w:val="2D6F4210"/>
    <w:rsid w:val="2D7412B1"/>
    <w:rsid w:val="2D77432A"/>
    <w:rsid w:val="2D7A48E6"/>
    <w:rsid w:val="2D7B0C21"/>
    <w:rsid w:val="2D7C5B0C"/>
    <w:rsid w:val="2D7D4850"/>
    <w:rsid w:val="2D7D712E"/>
    <w:rsid w:val="2D840CB5"/>
    <w:rsid w:val="2D8651E6"/>
    <w:rsid w:val="2D87256F"/>
    <w:rsid w:val="2D8B5653"/>
    <w:rsid w:val="2D927B76"/>
    <w:rsid w:val="2D957303"/>
    <w:rsid w:val="2D963E65"/>
    <w:rsid w:val="2D977850"/>
    <w:rsid w:val="2D99201B"/>
    <w:rsid w:val="2D9D7843"/>
    <w:rsid w:val="2D9E4CF1"/>
    <w:rsid w:val="2DA2550A"/>
    <w:rsid w:val="2DA31C74"/>
    <w:rsid w:val="2DA3745C"/>
    <w:rsid w:val="2DA7130E"/>
    <w:rsid w:val="2DAA1470"/>
    <w:rsid w:val="2DBD4788"/>
    <w:rsid w:val="2DC37296"/>
    <w:rsid w:val="2DC637D6"/>
    <w:rsid w:val="2DCF4381"/>
    <w:rsid w:val="2DCF72A6"/>
    <w:rsid w:val="2DD06FB6"/>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90462"/>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E5306"/>
    <w:rsid w:val="2EEE73E5"/>
    <w:rsid w:val="2EF36A7E"/>
    <w:rsid w:val="2EFB67FE"/>
    <w:rsid w:val="2EFE30A2"/>
    <w:rsid w:val="2EFF74E0"/>
    <w:rsid w:val="2F05573A"/>
    <w:rsid w:val="2F0572DE"/>
    <w:rsid w:val="2F0A0BC6"/>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40471"/>
    <w:rsid w:val="2F477462"/>
    <w:rsid w:val="2F481F38"/>
    <w:rsid w:val="2F4C19A8"/>
    <w:rsid w:val="2F4C40A5"/>
    <w:rsid w:val="2F4D3B5D"/>
    <w:rsid w:val="2F554637"/>
    <w:rsid w:val="2F563EC0"/>
    <w:rsid w:val="2F5B42DA"/>
    <w:rsid w:val="2F5B6F87"/>
    <w:rsid w:val="2F5C2A3E"/>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5434C"/>
    <w:rsid w:val="2FA82EF3"/>
    <w:rsid w:val="2FA921F3"/>
    <w:rsid w:val="2FA9347A"/>
    <w:rsid w:val="2FAD14B9"/>
    <w:rsid w:val="2FAE5C6C"/>
    <w:rsid w:val="2FAE723E"/>
    <w:rsid w:val="2FB1751B"/>
    <w:rsid w:val="2FB3377D"/>
    <w:rsid w:val="2FB40759"/>
    <w:rsid w:val="2FB67E57"/>
    <w:rsid w:val="2FB86EF3"/>
    <w:rsid w:val="2FB9003A"/>
    <w:rsid w:val="2FB903D3"/>
    <w:rsid w:val="2FBB7D91"/>
    <w:rsid w:val="2FBF0676"/>
    <w:rsid w:val="2FC855F7"/>
    <w:rsid w:val="2FCA0991"/>
    <w:rsid w:val="2FCE24EE"/>
    <w:rsid w:val="2FCF62AE"/>
    <w:rsid w:val="2FD03AD8"/>
    <w:rsid w:val="2FD41038"/>
    <w:rsid w:val="2FD80463"/>
    <w:rsid w:val="2FDB44EA"/>
    <w:rsid w:val="2FDC59AA"/>
    <w:rsid w:val="2FDD4A9A"/>
    <w:rsid w:val="2FDD5AAF"/>
    <w:rsid w:val="2FDF74CA"/>
    <w:rsid w:val="2FE423A0"/>
    <w:rsid w:val="2FEB0865"/>
    <w:rsid w:val="2FED6471"/>
    <w:rsid w:val="2FED71D4"/>
    <w:rsid w:val="2FF23AC7"/>
    <w:rsid w:val="2FF6501A"/>
    <w:rsid w:val="30003E1E"/>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103D5"/>
    <w:rsid w:val="30D3442A"/>
    <w:rsid w:val="30D95BF8"/>
    <w:rsid w:val="30DA6514"/>
    <w:rsid w:val="30DD25CD"/>
    <w:rsid w:val="30E24928"/>
    <w:rsid w:val="30E77847"/>
    <w:rsid w:val="30E87FC4"/>
    <w:rsid w:val="30E96C5C"/>
    <w:rsid w:val="30EE137A"/>
    <w:rsid w:val="30F91F98"/>
    <w:rsid w:val="30FD42E7"/>
    <w:rsid w:val="30FF2FBB"/>
    <w:rsid w:val="3102650D"/>
    <w:rsid w:val="310304F7"/>
    <w:rsid w:val="31053B4B"/>
    <w:rsid w:val="3105543C"/>
    <w:rsid w:val="31066455"/>
    <w:rsid w:val="310D0CE0"/>
    <w:rsid w:val="310F388C"/>
    <w:rsid w:val="31111818"/>
    <w:rsid w:val="31112C0D"/>
    <w:rsid w:val="31113480"/>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B5EC3"/>
    <w:rsid w:val="31AD019A"/>
    <w:rsid w:val="31AF1205"/>
    <w:rsid w:val="31B47FC6"/>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8688A"/>
    <w:rsid w:val="31EB2827"/>
    <w:rsid w:val="31ED4D3A"/>
    <w:rsid w:val="31F02C1F"/>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4206"/>
    <w:rsid w:val="321A20AB"/>
    <w:rsid w:val="321A752F"/>
    <w:rsid w:val="321F6E19"/>
    <w:rsid w:val="32254C78"/>
    <w:rsid w:val="3226592A"/>
    <w:rsid w:val="3229136A"/>
    <w:rsid w:val="322B645B"/>
    <w:rsid w:val="32331013"/>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1FB5"/>
    <w:rsid w:val="328319C7"/>
    <w:rsid w:val="328C06FB"/>
    <w:rsid w:val="3295156C"/>
    <w:rsid w:val="329B2A32"/>
    <w:rsid w:val="32A00C08"/>
    <w:rsid w:val="32A40659"/>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114DDB"/>
    <w:rsid w:val="33117375"/>
    <w:rsid w:val="33162FAA"/>
    <w:rsid w:val="33163294"/>
    <w:rsid w:val="331A0B19"/>
    <w:rsid w:val="331A3857"/>
    <w:rsid w:val="331B4578"/>
    <w:rsid w:val="331D2D88"/>
    <w:rsid w:val="331E7E5C"/>
    <w:rsid w:val="3323300B"/>
    <w:rsid w:val="332A58B0"/>
    <w:rsid w:val="332C3C60"/>
    <w:rsid w:val="332D4F16"/>
    <w:rsid w:val="332E240F"/>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852D5"/>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45CD2"/>
    <w:rsid w:val="33E57E53"/>
    <w:rsid w:val="33E917AD"/>
    <w:rsid w:val="33E931E5"/>
    <w:rsid w:val="33EA0162"/>
    <w:rsid w:val="33EA2268"/>
    <w:rsid w:val="33EC2AC5"/>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04542"/>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B20943"/>
    <w:rsid w:val="34B22F51"/>
    <w:rsid w:val="34B45980"/>
    <w:rsid w:val="34B60F57"/>
    <w:rsid w:val="34B8061B"/>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D52EE"/>
    <w:rsid w:val="34DF36C3"/>
    <w:rsid w:val="34E375A0"/>
    <w:rsid w:val="34E66B9B"/>
    <w:rsid w:val="34E77E7F"/>
    <w:rsid w:val="34EB238D"/>
    <w:rsid w:val="34EB7A8D"/>
    <w:rsid w:val="34EC4728"/>
    <w:rsid w:val="34F012A4"/>
    <w:rsid w:val="34F130C4"/>
    <w:rsid w:val="34F13687"/>
    <w:rsid w:val="34F36BAD"/>
    <w:rsid w:val="34F829EE"/>
    <w:rsid w:val="34FA4282"/>
    <w:rsid w:val="35052E54"/>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75CB9"/>
    <w:rsid w:val="35B83C58"/>
    <w:rsid w:val="35BC3A2D"/>
    <w:rsid w:val="35BD76E8"/>
    <w:rsid w:val="35BF3F4C"/>
    <w:rsid w:val="35C25B82"/>
    <w:rsid w:val="35C50D97"/>
    <w:rsid w:val="35C62569"/>
    <w:rsid w:val="35CC7EB9"/>
    <w:rsid w:val="35CE63CC"/>
    <w:rsid w:val="35D02593"/>
    <w:rsid w:val="35D32DF2"/>
    <w:rsid w:val="35D50AB4"/>
    <w:rsid w:val="35DA38CF"/>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97704"/>
    <w:rsid w:val="363A1192"/>
    <w:rsid w:val="363B6873"/>
    <w:rsid w:val="363C0117"/>
    <w:rsid w:val="363D1669"/>
    <w:rsid w:val="363E0E35"/>
    <w:rsid w:val="36484EB0"/>
    <w:rsid w:val="36490087"/>
    <w:rsid w:val="364B5A32"/>
    <w:rsid w:val="364C701A"/>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64170"/>
    <w:rsid w:val="368737C3"/>
    <w:rsid w:val="368A5895"/>
    <w:rsid w:val="368D1CFF"/>
    <w:rsid w:val="368E1745"/>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BF5E48"/>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B428F"/>
    <w:rsid w:val="377106E5"/>
    <w:rsid w:val="37734170"/>
    <w:rsid w:val="37746054"/>
    <w:rsid w:val="377B489D"/>
    <w:rsid w:val="377F0D0C"/>
    <w:rsid w:val="378118BC"/>
    <w:rsid w:val="37830EF6"/>
    <w:rsid w:val="3789223E"/>
    <w:rsid w:val="378B1876"/>
    <w:rsid w:val="378B20DD"/>
    <w:rsid w:val="378B7C94"/>
    <w:rsid w:val="378D16CF"/>
    <w:rsid w:val="37926C17"/>
    <w:rsid w:val="37945958"/>
    <w:rsid w:val="37981CC8"/>
    <w:rsid w:val="37987B70"/>
    <w:rsid w:val="37996316"/>
    <w:rsid w:val="379B2732"/>
    <w:rsid w:val="37A01C96"/>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4038B"/>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C4DAD"/>
    <w:rsid w:val="389D6C69"/>
    <w:rsid w:val="389E2802"/>
    <w:rsid w:val="38A032DC"/>
    <w:rsid w:val="38A3697B"/>
    <w:rsid w:val="38A36E31"/>
    <w:rsid w:val="38A94EA8"/>
    <w:rsid w:val="38A96163"/>
    <w:rsid w:val="38AA69A4"/>
    <w:rsid w:val="38AA6BAE"/>
    <w:rsid w:val="38AC3DE9"/>
    <w:rsid w:val="38AE4D5A"/>
    <w:rsid w:val="38B12CAC"/>
    <w:rsid w:val="38B76992"/>
    <w:rsid w:val="38B810F5"/>
    <w:rsid w:val="38B94CF4"/>
    <w:rsid w:val="38BB5E78"/>
    <w:rsid w:val="38C21DAC"/>
    <w:rsid w:val="38C33EB9"/>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2B0F"/>
    <w:rsid w:val="390D5688"/>
    <w:rsid w:val="390D5E5D"/>
    <w:rsid w:val="391023C5"/>
    <w:rsid w:val="39153D76"/>
    <w:rsid w:val="391948B2"/>
    <w:rsid w:val="391A2FDB"/>
    <w:rsid w:val="39216C0F"/>
    <w:rsid w:val="39236BC1"/>
    <w:rsid w:val="39296418"/>
    <w:rsid w:val="392A5794"/>
    <w:rsid w:val="392B24F1"/>
    <w:rsid w:val="392C05B6"/>
    <w:rsid w:val="3930004F"/>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5228B"/>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520DA"/>
    <w:rsid w:val="39CE5D7E"/>
    <w:rsid w:val="39E41D0B"/>
    <w:rsid w:val="39EB222D"/>
    <w:rsid w:val="39EC4FB0"/>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6EC7"/>
    <w:rsid w:val="3A0C32E2"/>
    <w:rsid w:val="3A0E5EAD"/>
    <w:rsid w:val="3A1508CD"/>
    <w:rsid w:val="3A1660D9"/>
    <w:rsid w:val="3A16787E"/>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E4061"/>
    <w:rsid w:val="3A5E7969"/>
    <w:rsid w:val="3A607FD4"/>
    <w:rsid w:val="3A6226BD"/>
    <w:rsid w:val="3A6F2676"/>
    <w:rsid w:val="3A715329"/>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95C06"/>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666BB"/>
    <w:rsid w:val="3AEA6F2D"/>
    <w:rsid w:val="3AEC78E4"/>
    <w:rsid w:val="3AED7F4D"/>
    <w:rsid w:val="3AF01DD9"/>
    <w:rsid w:val="3AF14C1B"/>
    <w:rsid w:val="3AF17025"/>
    <w:rsid w:val="3AF71619"/>
    <w:rsid w:val="3AFA6798"/>
    <w:rsid w:val="3AFD3ABC"/>
    <w:rsid w:val="3B014117"/>
    <w:rsid w:val="3B0309CB"/>
    <w:rsid w:val="3B0923C9"/>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F1BC1"/>
    <w:rsid w:val="3B421609"/>
    <w:rsid w:val="3B422F9F"/>
    <w:rsid w:val="3B4737CF"/>
    <w:rsid w:val="3B4A01D4"/>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96E99"/>
    <w:rsid w:val="3BEB2B06"/>
    <w:rsid w:val="3BEC4C91"/>
    <w:rsid w:val="3BED1926"/>
    <w:rsid w:val="3BF02B60"/>
    <w:rsid w:val="3BF13E9D"/>
    <w:rsid w:val="3BF23597"/>
    <w:rsid w:val="3BF820DF"/>
    <w:rsid w:val="3BF872F0"/>
    <w:rsid w:val="3BFF1E65"/>
    <w:rsid w:val="3C024E41"/>
    <w:rsid w:val="3C112A73"/>
    <w:rsid w:val="3C132F78"/>
    <w:rsid w:val="3C162D3D"/>
    <w:rsid w:val="3C1E55AE"/>
    <w:rsid w:val="3C21141C"/>
    <w:rsid w:val="3C244BC9"/>
    <w:rsid w:val="3C2523B0"/>
    <w:rsid w:val="3C2B17C2"/>
    <w:rsid w:val="3C2E0501"/>
    <w:rsid w:val="3C3A5460"/>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5BD8"/>
    <w:rsid w:val="3C7B1118"/>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441A0"/>
    <w:rsid w:val="3CC84876"/>
    <w:rsid w:val="3CCA6D5C"/>
    <w:rsid w:val="3CCC2374"/>
    <w:rsid w:val="3CCD3212"/>
    <w:rsid w:val="3CD22856"/>
    <w:rsid w:val="3CDA647B"/>
    <w:rsid w:val="3CE06825"/>
    <w:rsid w:val="3CE3559C"/>
    <w:rsid w:val="3CE578FF"/>
    <w:rsid w:val="3CEC0192"/>
    <w:rsid w:val="3CEF23B6"/>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E3AFF"/>
    <w:rsid w:val="3D375810"/>
    <w:rsid w:val="3D3B0BA0"/>
    <w:rsid w:val="3D464286"/>
    <w:rsid w:val="3D4763DB"/>
    <w:rsid w:val="3D4D5883"/>
    <w:rsid w:val="3D515364"/>
    <w:rsid w:val="3D536BF6"/>
    <w:rsid w:val="3D5633BC"/>
    <w:rsid w:val="3D563A4D"/>
    <w:rsid w:val="3D595319"/>
    <w:rsid w:val="3D5C0660"/>
    <w:rsid w:val="3D642E86"/>
    <w:rsid w:val="3D65299D"/>
    <w:rsid w:val="3D661101"/>
    <w:rsid w:val="3D6D491E"/>
    <w:rsid w:val="3D6E7D33"/>
    <w:rsid w:val="3D7002C2"/>
    <w:rsid w:val="3D770DCA"/>
    <w:rsid w:val="3D780D83"/>
    <w:rsid w:val="3D7C7DB9"/>
    <w:rsid w:val="3D7D1CE2"/>
    <w:rsid w:val="3D7D1DBF"/>
    <w:rsid w:val="3D7E54CD"/>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B2B9B"/>
    <w:rsid w:val="3DEB4B11"/>
    <w:rsid w:val="3DF40946"/>
    <w:rsid w:val="3DFD019E"/>
    <w:rsid w:val="3DFE0902"/>
    <w:rsid w:val="3E0106EB"/>
    <w:rsid w:val="3E0C1387"/>
    <w:rsid w:val="3E116C9B"/>
    <w:rsid w:val="3E124DCF"/>
    <w:rsid w:val="3E1615A3"/>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778D2"/>
    <w:rsid w:val="3E7830D0"/>
    <w:rsid w:val="3E787F28"/>
    <w:rsid w:val="3E7A5E00"/>
    <w:rsid w:val="3E7A6765"/>
    <w:rsid w:val="3E7B47E7"/>
    <w:rsid w:val="3E7B7B6D"/>
    <w:rsid w:val="3E7F0079"/>
    <w:rsid w:val="3E817414"/>
    <w:rsid w:val="3E855B92"/>
    <w:rsid w:val="3E863B8C"/>
    <w:rsid w:val="3E944971"/>
    <w:rsid w:val="3E966B1B"/>
    <w:rsid w:val="3E9B1377"/>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2945"/>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66D49"/>
    <w:rsid w:val="40995EBB"/>
    <w:rsid w:val="409F3D47"/>
    <w:rsid w:val="40A42D0D"/>
    <w:rsid w:val="40A56F3D"/>
    <w:rsid w:val="40AA37B9"/>
    <w:rsid w:val="40AA491E"/>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7C8A"/>
    <w:rsid w:val="410D11EA"/>
    <w:rsid w:val="410F0083"/>
    <w:rsid w:val="41113811"/>
    <w:rsid w:val="41116958"/>
    <w:rsid w:val="41130281"/>
    <w:rsid w:val="4113268C"/>
    <w:rsid w:val="411D7D4D"/>
    <w:rsid w:val="41201982"/>
    <w:rsid w:val="41240938"/>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9F40F7"/>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D6729"/>
    <w:rsid w:val="42D1059F"/>
    <w:rsid w:val="42D24BC4"/>
    <w:rsid w:val="42D305CE"/>
    <w:rsid w:val="42D3635A"/>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E7390"/>
    <w:rsid w:val="43330023"/>
    <w:rsid w:val="433A139B"/>
    <w:rsid w:val="433E3343"/>
    <w:rsid w:val="434116E3"/>
    <w:rsid w:val="43431B15"/>
    <w:rsid w:val="43490CE1"/>
    <w:rsid w:val="43494D9B"/>
    <w:rsid w:val="434D1E4D"/>
    <w:rsid w:val="434E476E"/>
    <w:rsid w:val="4354210E"/>
    <w:rsid w:val="435447FE"/>
    <w:rsid w:val="435710C7"/>
    <w:rsid w:val="43587AA1"/>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67D5"/>
    <w:rsid w:val="43936914"/>
    <w:rsid w:val="43961351"/>
    <w:rsid w:val="43977D17"/>
    <w:rsid w:val="4399205D"/>
    <w:rsid w:val="439A7018"/>
    <w:rsid w:val="439B2429"/>
    <w:rsid w:val="439B476E"/>
    <w:rsid w:val="439B7918"/>
    <w:rsid w:val="439D1D71"/>
    <w:rsid w:val="439E22B3"/>
    <w:rsid w:val="43A33413"/>
    <w:rsid w:val="43AF5841"/>
    <w:rsid w:val="43B038A3"/>
    <w:rsid w:val="43B17C72"/>
    <w:rsid w:val="43B420BE"/>
    <w:rsid w:val="43B433FB"/>
    <w:rsid w:val="43B45C04"/>
    <w:rsid w:val="43B66DF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A409D"/>
    <w:rsid w:val="43EC5191"/>
    <w:rsid w:val="43ED008A"/>
    <w:rsid w:val="43EF3D23"/>
    <w:rsid w:val="43F01409"/>
    <w:rsid w:val="43F02B03"/>
    <w:rsid w:val="43F07D1E"/>
    <w:rsid w:val="43F20FE3"/>
    <w:rsid w:val="43F95D9B"/>
    <w:rsid w:val="43FB3001"/>
    <w:rsid w:val="440756EF"/>
    <w:rsid w:val="440C2F15"/>
    <w:rsid w:val="440F0642"/>
    <w:rsid w:val="440F49DD"/>
    <w:rsid w:val="441058F2"/>
    <w:rsid w:val="44106909"/>
    <w:rsid w:val="44134828"/>
    <w:rsid w:val="441C1204"/>
    <w:rsid w:val="441D2D64"/>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B51EB"/>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235936"/>
    <w:rsid w:val="452517F2"/>
    <w:rsid w:val="4528153E"/>
    <w:rsid w:val="452E18D6"/>
    <w:rsid w:val="45311463"/>
    <w:rsid w:val="45340980"/>
    <w:rsid w:val="453A36BE"/>
    <w:rsid w:val="453B1F44"/>
    <w:rsid w:val="453B6B17"/>
    <w:rsid w:val="4543292A"/>
    <w:rsid w:val="4546489D"/>
    <w:rsid w:val="45484802"/>
    <w:rsid w:val="454A2DFC"/>
    <w:rsid w:val="454A5117"/>
    <w:rsid w:val="454C0A2E"/>
    <w:rsid w:val="454C1559"/>
    <w:rsid w:val="454C4F41"/>
    <w:rsid w:val="454E0E8E"/>
    <w:rsid w:val="454F3910"/>
    <w:rsid w:val="45501DAF"/>
    <w:rsid w:val="4561759E"/>
    <w:rsid w:val="456448D4"/>
    <w:rsid w:val="45685317"/>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B3FF2"/>
    <w:rsid w:val="45AB43CF"/>
    <w:rsid w:val="45AE4BB8"/>
    <w:rsid w:val="45AF1997"/>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76F62"/>
    <w:rsid w:val="47395CA0"/>
    <w:rsid w:val="47493D73"/>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816F2"/>
    <w:rsid w:val="47BA6C9F"/>
    <w:rsid w:val="47BB1F94"/>
    <w:rsid w:val="47BE0EEF"/>
    <w:rsid w:val="47C16645"/>
    <w:rsid w:val="47C16799"/>
    <w:rsid w:val="47C41DCA"/>
    <w:rsid w:val="47C43B0C"/>
    <w:rsid w:val="47C5531C"/>
    <w:rsid w:val="47C65AE0"/>
    <w:rsid w:val="47C71F89"/>
    <w:rsid w:val="47D10FA1"/>
    <w:rsid w:val="47D13850"/>
    <w:rsid w:val="47D253B7"/>
    <w:rsid w:val="47D51AA9"/>
    <w:rsid w:val="47DA2C5B"/>
    <w:rsid w:val="47DA4B93"/>
    <w:rsid w:val="47DC518A"/>
    <w:rsid w:val="47DD6023"/>
    <w:rsid w:val="47E74774"/>
    <w:rsid w:val="47E75779"/>
    <w:rsid w:val="47EA1824"/>
    <w:rsid w:val="47EC4143"/>
    <w:rsid w:val="47ED0A50"/>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4C3"/>
    <w:rsid w:val="486A4CAF"/>
    <w:rsid w:val="486A6174"/>
    <w:rsid w:val="486E7217"/>
    <w:rsid w:val="486F3974"/>
    <w:rsid w:val="486F7F36"/>
    <w:rsid w:val="48724A16"/>
    <w:rsid w:val="48754442"/>
    <w:rsid w:val="4875648F"/>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4FB3"/>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634DD"/>
    <w:rsid w:val="49977AD8"/>
    <w:rsid w:val="499B3DFA"/>
    <w:rsid w:val="499D69B4"/>
    <w:rsid w:val="49A212FB"/>
    <w:rsid w:val="49A64729"/>
    <w:rsid w:val="49A75D54"/>
    <w:rsid w:val="49AA1350"/>
    <w:rsid w:val="49AA6C98"/>
    <w:rsid w:val="49AB71AB"/>
    <w:rsid w:val="49AE04CC"/>
    <w:rsid w:val="49B82183"/>
    <w:rsid w:val="49B94F5E"/>
    <w:rsid w:val="49BB532D"/>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D0B3C"/>
    <w:rsid w:val="49ED5C09"/>
    <w:rsid w:val="49F200B7"/>
    <w:rsid w:val="49F250F2"/>
    <w:rsid w:val="49FE2BB0"/>
    <w:rsid w:val="49FF1285"/>
    <w:rsid w:val="4A01569D"/>
    <w:rsid w:val="4A041330"/>
    <w:rsid w:val="4A046701"/>
    <w:rsid w:val="4A0D309A"/>
    <w:rsid w:val="4A0E56DF"/>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F261E"/>
    <w:rsid w:val="4AC0663F"/>
    <w:rsid w:val="4AC43A5D"/>
    <w:rsid w:val="4AC61421"/>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159"/>
    <w:rsid w:val="4BD90B7C"/>
    <w:rsid w:val="4BDB4816"/>
    <w:rsid w:val="4BDC063A"/>
    <w:rsid w:val="4BDC4123"/>
    <w:rsid w:val="4BDE3B04"/>
    <w:rsid w:val="4BE056F1"/>
    <w:rsid w:val="4BE05EF0"/>
    <w:rsid w:val="4BE47438"/>
    <w:rsid w:val="4BE53E7A"/>
    <w:rsid w:val="4BE813A6"/>
    <w:rsid w:val="4BE93CEF"/>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62EC"/>
    <w:rsid w:val="4C47583B"/>
    <w:rsid w:val="4C4778DE"/>
    <w:rsid w:val="4C48215A"/>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A1AC0"/>
    <w:rsid w:val="4C9B0EA5"/>
    <w:rsid w:val="4C9C38FE"/>
    <w:rsid w:val="4CA16746"/>
    <w:rsid w:val="4CA3791B"/>
    <w:rsid w:val="4CA407F6"/>
    <w:rsid w:val="4CA6674F"/>
    <w:rsid w:val="4CA80529"/>
    <w:rsid w:val="4CAD6B9D"/>
    <w:rsid w:val="4CAF3008"/>
    <w:rsid w:val="4CB31902"/>
    <w:rsid w:val="4CB80FA8"/>
    <w:rsid w:val="4CB82D1C"/>
    <w:rsid w:val="4CC557AA"/>
    <w:rsid w:val="4CC66C63"/>
    <w:rsid w:val="4CC712C2"/>
    <w:rsid w:val="4CC74EAD"/>
    <w:rsid w:val="4CC92C07"/>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3797"/>
    <w:rsid w:val="4CFC7B65"/>
    <w:rsid w:val="4D066CD8"/>
    <w:rsid w:val="4D101B13"/>
    <w:rsid w:val="4D106377"/>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511A34"/>
    <w:rsid w:val="4D52336C"/>
    <w:rsid w:val="4D550694"/>
    <w:rsid w:val="4D5579DF"/>
    <w:rsid w:val="4D5A697D"/>
    <w:rsid w:val="4D630E97"/>
    <w:rsid w:val="4D637C98"/>
    <w:rsid w:val="4D6928E6"/>
    <w:rsid w:val="4D6E710B"/>
    <w:rsid w:val="4D711DB3"/>
    <w:rsid w:val="4D7210F8"/>
    <w:rsid w:val="4D76024F"/>
    <w:rsid w:val="4D771C1B"/>
    <w:rsid w:val="4D79052A"/>
    <w:rsid w:val="4D7F0AD9"/>
    <w:rsid w:val="4D825FC2"/>
    <w:rsid w:val="4D841AA7"/>
    <w:rsid w:val="4D865ACB"/>
    <w:rsid w:val="4D897ECE"/>
    <w:rsid w:val="4D907F59"/>
    <w:rsid w:val="4D985344"/>
    <w:rsid w:val="4D9971E4"/>
    <w:rsid w:val="4D9C521F"/>
    <w:rsid w:val="4D9D0CE9"/>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D3F76"/>
    <w:rsid w:val="4DEF78E7"/>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3607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37091"/>
    <w:rsid w:val="4EB447B6"/>
    <w:rsid w:val="4EB536C3"/>
    <w:rsid w:val="4EB605FE"/>
    <w:rsid w:val="4EB75178"/>
    <w:rsid w:val="4EB93ECB"/>
    <w:rsid w:val="4EBF1073"/>
    <w:rsid w:val="4EBF349F"/>
    <w:rsid w:val="4EC01651"/>
    <w:rsid w:val="4EC11BE0"/>
    <w:rsid w:val="4EC338A2"/>
    <w:rsid w:val="4EC46DF2"/>
    <w:rsid w:val="4EC901B7"/>
    <w:rsid w:val="4EC91CB6"/>
    <w:rsid w:val="4ED00A7A"/>
    <w:rsid w:val="4ED01038"/>
    <w:rsid w:val="4ED10A99"/>
    <w:rsid w:val="4ED14E80"/>
    <w:rsid w:val="4ED756B2"/>
    <w:rsid w:val="4ED76E8A"/>
    <w:rsid w:val="4EDB24EC"/>
    <w:rsid w:val="4EE153DA"/>
    <w:rsid w:val="4EE475CD"/>
    <w:rsid w:val="4EE63F75"/>
    <w:rsid w:val="4EE854F3"/>
    <w:rsid w:val="4EED6DDC"/>
    <w:rsid w:val="4EEE0966"/>
    <w:rsid w:val="4EF6134A"/>
    <w:rsid w:val="4EFA17CF"/>
    <w:rsid w:val="4EFB15E5"/>
    <w:rsid w:val="4EFB36F3"/>
    <w:rsid w:val="4EFD2395"/>
    <w:rsid w:val="4EFE0992"/>
    <w:rsid w:val="4EFE65FF"/>
    <w:rsid w:val="4F03368A"/>
    <w:rsid w:val="4F065567"/>
    <w:rsid w:val="4F093B54"/>
    <w:rsid w:val="4F0D046D"/>
    <w:rsid w:val="4F120F1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252ED"/>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3544"/>
    <w:rsid w:val="50CB601A"/>
    <w:rsid w:val="50CE351A"/>
    <w:rsid w:val="50D06815"/>
    <w:rsid w:val="50D06E97"/>
    <w:rsid w:val="50D2253B"/>
    <w:rsid w:val="50D36047"/>
    <w:rsid w:val="50DB38DA"/>
    <w:rsid w:val="50DC497A"/>
    <w:rsid w:val="50DE644E"/>
    <w:rsid w:val="50DF0BD5"/>
    <w:rsid w:val="50E2218F"/>
    <w:rsid w:val="50E51CD3"/>
    <w:rsid w:val="50E9548C"/>
    <w:rsid w:val="50E97079"/>
    <w:rsid w:val="50EC201D"/>
    <w:rsid w:val="50F524CD"/>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C4A52"/>
    <w:rsid w:val="512C7722"/>
    <w:rsid w:val="512F0A94"/>
    <w:rsid w:val="5133221E"/>
    <w:rsid w:val="513641A3"/>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C124E"/>
    <w:rsid w:val="51607F5A"/>
    <w:rsid w:val="51654D70"/>
    <w:rsid w:val="51657022"/>
    <w:rsid w:val="516A5786"/>
    <w:rsid w:val="516B561D"/>
    <w:rsid w:val="516D6150"/>
    <w:rsid w:val="516E3ACC"/>
    <w:rsid w:val="517866A1"/>
    <w:rsid w:val="517F341F"/>
    <w:rsid w:val="517F7491"/>
    <w:rsid w:val="51807A8C"/>
    <w:rsid w:val="518202BE"/>
    <w:rsid w:val="5186783E"/>
    <w:rsid w:val="51870573"/>
    <w:rsid w:val="51891A7C"/>
    <w:rsid w:val="518B58E0"/>
    <w:rsid w:val="518E391E"/>
    <w:rsid w:val="51975533"/>
    <w:rsid w:val="51985237"/>
    <w:rsid w:val="51996747"/>
    <w:rsid w:val="519C68A1"/>
    <w:rsid w:val="519F5137"/>
    <w:rsid w:val="51A02E51"/>
    <w:rsid w:val="51A412E2"/>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C5919"/>
    <w:rsid w:val="521029CD"/>
    <w:rsid w:val="52174497"/>
    <w:rsid w:val="5217477E"/>
    <w:rsid w:val="521E30A6"/>
    <w:rsid w:val="52237B17"/>
    <w:rsid w:val="52264041"/>
    <w:rsid w:val="52266ADC"/>
    <w:rsid w:val="52277C15"/>
    <w:rsid w:val="522C5C38"/>
    <w:rsid w:val="52313A50"/>
    <w:rsid w:val="52370865"/>
    <w:rsid w:val="523A0031"/>
    <w:rsid w:val="523B7D12"/>
    <w:rsid w:val="523D58A7"/>
    <w:rsid w:val="523E2195"/>
    <w:rsid w:val="52403FAA"/>
    <w:rsid w:val="524A3580"/>
    <w:rsid w:val="524D6857"/>
    <w:rsid w:val="524F0252"/>
    <w:rsid w:val="524F31F4"/>
    <w:rsid w:val="52503503"/>
    <w:rsid w:val="52520744"/>
    <w:rsid w:val="525273BE"/>
    <w:rsid w:val="52527B51"/>
    <w:rsid w:val="52562525"/>
    <w:rsid w:val="52570256"/>
    <w:rsid w:val="525A2413"/>
    <w:rsid w:val="525B059F"/>
    <w:rsid w:val="525C611C"/>
    <w:rsid w:val="525E56B4"/>
    <w:rsid w:val="52621CB1"/>
    <w:rsid w:val="52633CA7"/>
    <w:rsid w:val="52652EC9"/>
    <w:rsid w:val="5269245E"/>
    <w:rsid w:val="526A17EE"/>
    <w:rsid w:val="526B23D7"/>
    <w:rsid w:val="526F5FD4"/>
    <w:rsid w:val="526F7A4D"/>
    <w:rsid w:val="52775481"/>
    <w:rsid w:val="52790752"/>
    <w:rsid w:val="527A6DAF"/>
    <w:rsid w:val="527B49DA"/>
    <w:rsid w:val="527C115E"/>
    <w:rsid w:val="527C2A9B"/>
    <w:rsid w:val="527C520A"/>
    <w:rsid w:val="527E13AE"/>
    <w:rsid w:val="527E6C64"/>
    <w:rsid w:val="528453A9"/>
    <w:rsid w:val="52853FC7"/>
    <w:rsid w:val="52876196"/>
    <w:rsid w:val="5287728E"/>
    <w:rsid w:val="528933CB"/>
    <w:rsid w:val="52894A70"/>
    <w:rsid w:val="52924B69"/>
    <w:rsid w:val="52960A0E"/>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804F5"/>
    <w:rsid w:val="53156828"/>
    <w:rsid w:val="53171F42"/>
    <w:rsid w:val="531815D1"/>
    <w:rsid w:val="53191790"/>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C310C"/>
    <w:rsid w:val="537C7CD0"/>
    <w:rsid w:val="537D2A29"/>
    <w:rsid w:val="538A5A72"/>
    <w:rsid w:val="53943EC5"/>
    <w:rsid w:val="53984DAD"/>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100828"/>
    <w:rsid w:val="541068A8"/>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303C0B"/>
    <w:rsid w:val="54321B74"/>
    <w:rsid w:val="543436FD"/>
    <w:rsid w:val="543E1E60"/>
    <w:rsid w:val="54467085"/>
    <w:rsid w:val="544A2BF4"/>
    <w:rsid w:val="544A3898"/>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9247D"/>
    <w:rsid w:val="54D07229"/>
    <w:rsid w:val="54D12555"/>
    <w:rsid w:val="54D7147E"/>
    <w:rsid w:val="54D76493"/>
    <w:rsid w:val="54E07D26"/>
    <w:rsid w:val="54E4148C"/>
    <w:rsid w:val="54E43891"/>
    <w:rsid w:val="54E6558E"/>
    <w:rsid w:val="54F175CD"/>
    <w:rsid w:val="54F343A4"/>
    <w:rsid w:val="54F67BEE"/>
    <w:rsid w:val="54F7631A"/>
    <w:rsid w:val="54F824D3"/>
    <w:rsid w:val="54F86EE6"/>
    <w:rsid w:val="54FB5A98"/>
    <w:rsid w:val="54FC3C9C"/>
    <w:rsid w:val="54FE08CB"/>
    <w:rsid w:val="55034C00"/>
    <w:rsid w:val="55062CDB"/>
    <w:rsid w:val="5507222B"/>
    <w:rsid w:val="55091B14"/>
    <w:rsid w:val="550E4252"/>
    <w:rsid w:val="55122499"/>
    <w:rsid w:val="55130C37"/>
    <w:rsid w:val="551B0882"/>
    <w:rsid w:val="551B468C"/>
    <w:rsid w:val="551D4DCA"/>
    <w:rsid w:val="5520580C"/>
    <w:rsid w:val="55221097"/>
    <w:rsid w:val="5522645E"/>
    <w:rsid w:val="552267B7"/>
    <w:rsid w:val="55226E66"/>
    <w:rsid w:val="55232C30"/>
    <w:rsid w:val="55235DB1"/>
    <w:rsid w:val="55242FED"/>
    <w:rsid w:val="55262EE3"/>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F77B4"/>
    <w:rsid w:val="56E2081E"/>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910ED9"/>
    <w:rsid w:val="5792558C"/>
    <w:rsid w:val="579665BA"/>
    <w:rsid w:val="57967D6A"/>
    <w:rsid w:val="57996DF4"/>
    <w:rsid w:val="579A088D"/>
    <w:rsid w:val="579A58FB"/>
    <w:rsid w:val="579B4A41"/>
    <w:rsid w:val="579E2DF5"/>
    <w:rsid w:val="57A0381C"/>
    <w:rsid w:val="57AB679F"/>
    <w:rsid w:val="57AD3521"/>
    <w:rsid w:val="57B168C0"/>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E056CD"/>
    <w:rsid w:val="57E41B18"/>
    <w:rsid w:val="57E725A9"/>
    <w:rsid w:val="57EA2D2A"/>
    <w:rsid w:val="57F511EE"/>
    <w:rsid w:val="57FB0D76"/>
    <w:rsid w:val="57FC314B"/>
    <w:rsid w:val="57FD7FED"/>
    <w:rsid w:val="58015BBA"/>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33A9"/>
    <w:rsid w:val="58666BFB"/>
    <w:rsid w:val="586B28CE"/>
    <w:rsid w:val="586B5656"/>
    <w:rsid w:val="586E1E9E"/>
    <w:rsid w:val="586F7795"/>
    <w:rsid w:val="587458DB"/>
    <w:rsid w:val="58804EBA"/>
    <w:rsid w:val="588070D2"/>
    <w:rsid w:val="58853FDA"/>
    <w:rsid w:val="58865E6F"/>
    <w:rsid w:val="58875C1C"/>
    <w:rsid w:val="588C09D4"/>
    <w:rsid w:val="588C2C33"/>
    <w:rsid w:val="58916C59"/>
    <w:rsid w:val="58960B7D"/>
    <w:rsid w:val="589B3211"/>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86A7D"/>
    <w:rsid w:val="58B9473E"/>
    <w:rsid w:val="58BA1C27"/>
    <w:rsid w:val="58BD4597"/>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E06CB9"/>
    <w:rsid w:val="58E15E84"/>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966B0"/>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D48F7"/>
    <w:rsid w:val="5B4F655D"/>
    <w:rsid w:val="5B550B55"/>
    <w:rsid w:val="5B574A9B"/>
    <w:rsid w:val="5B584DD0"/>
    <w:rsid w:val="5B590478"/>
    <w:rsid w:val="5B59184E"/>
    <w:rsid w:val="5B604CDF"/>
    <w:rsid w:val="5B657492"/>
    <w:rsid w:val="5B6A6691"/>
    <w:rsid w:val="5B6A7A16"/>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200F2"/>
    <w:rsid w:val="5BE6014B"/>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E20A54"/>
    <w:rsid w:val="5CEC0EB0"/>
    <w:rsid w:val="5CED14B9"/>
    <w:rsid w:val="5CEE788F"/>
    <w:rsid w:val="5CF0221E"/>
    <w:rsid w:val="5CF3257C"/>
    <w:rsid w:val="5CF648CF"/>
    <w:rsid w:val="5CF957EF"/>
    <w:rsid w:val="5CFC4E7A"/>
    <w:rsid w:val="5CFC7E7E"/>
    <w:rsid w:val="5CFD4F72"/>
    <w:rsid w:val="5D022E59"/>
    <w:rsid w:val="5D0273BD"/>
    <w:rsid w:val="5D056E1C"/>
    <w:rsid w:val="5D0576FB"/>
    <w:rsid w:val="5D071333"/>
    <w:rsid w:val="5D093D73"/>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8541F"/>
    <w:rsid w:val="5D7C6364"/>
    <w:rsid w:val="5D7D4C90"/>
    <w:rsid w:val="5D813887"/>
    <w:rsid w:val="5D834F4B"/>
    <w:rsid w:val="5D8727E5"/>
    <w:rsid w:val="5D884605"/>
    <w:rsid w:val="5D893D4A"/>
    <w:rsid w:val="5D8A3B2D"/>
    <w:rsid w:val="5D8B330F"/>
    <w:rsid w:val="5D8B47E6"/>
    <w:rsid w:val="5D8C3A73"/>
    <w:rsid w:val="5D8C644D"/>
    <w:rsid w:val="5D9D6F6F"/>
    <w:rsid w:val="5D9F0E03"/>
    <w:rsid w:val="5DA23795"/>
    <w:rsid w:val="5DA51F18"/>
    <w:rsid w:val="5DA52400"/>
    <w:rsid w:val="5DAA2E81"/>
    <w:rsid w:val="5DAD1F19"/>
    <w:rsid w:val="5DAE57FF"/>
    <w:rsid w:val="5DAE5A16"/>
    <w:rsid w:val="5DB8521E"/>
    <w:rsid w:val="5DB95EAD"/>
    <w:rsid w:val="5DBA319F"/>
    <w:rsid w:val="5DBC12EB"/>
    <w:rsid w:val="5DBF16B8"/>
    <w:rsid w:val="5DC03271"/>
    <w:rsid w:val="5DC62460"/>
    <w:rsid w:val="5DC63337"/>
    <w:rsid w:val="5DCD4018"/>
    <w:rsid w:val="5DD01B8F"/>
    <w:rsid w:val="5DD1378D"/>
    <w:rsid w:val="5DD50E99"/>
    <w:rsid w:val="5DD60A70"/>
    <w:rsid w:val="5DDC78DB"/>
    <w:rsid w:val="5DDE09FC"/>
    <w:rsid w:val="5DE455D4"/>
    <w:rsid w:val="5DE51BF6"/>
    <w:rsid w:val="5DEB5594"/>
    <w:rsid w:val="5DF03DA0"/>
    <w:rsid w:val="5DF55A75"/>
    <w:rsid w:val="5DF6174F"/>
    <w:rsid w:val="5DF617F0"/>
    <w:rsid w:val="5DF71F9D"/>
    <w:rsid w:val="5DFE5C6C"/>
    <w:rsid w:val="5E033A16"/>
    <w:rsid w:val="5E0C4B53"/>
    <w:rsid w:val="5E100989"/>
    <w:rsid w:val="5E161B56"/>
    <w:rsid w:val="5E193C40"/>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30AC3"/>
    <w:rsid w:val="5E462F12"/>
    <w:rsid w:val="5E473F24"/>
    <w:rsid w:val="5E4B69BB"/>
    <w:rsid w:val="5E4C5639"/>
    <w:rsid w:val="5E4D37FE"/>
    <w:rsid w:val="5E526797"/>
    <w:rsid w:val="5E5362E5"/>
    <w:rsid w:val="5E595F4C"/>
    <w:rsid w:val="5E5A0520"/>
    <w:rsid w:val="5E5C50BF"/>
    <w:rsid w:val="5E5E51DA"/>
    <w:rsid w:val="5E5F1C63"/>
    <w:rsid w:val="5E5F2136"/>
    <w:rsid w:val="5E5F7D1C"/>
    <w:rsid w:val="5E615E36"/>
    <w:rsid w:val="5E6425BF"/>
    <w:rsid w:val="5E655BE4"/>
    <w:rsid w:val="5E65717E"/>
    <w:rsid w:val="5E6B3BFD"/>
    <w:rsid w:val="5E6E6238"/>
    <w:rsid w:val="5E7B58EC"/>
    <w:rsid w:val="5E7E23E2"/>
    <w:rsid w:val="5E7F0949"/>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F4481"/>
    <w:rsid w:val="5F900EE5"/>
    <w:rsid w:val="5F922542"/>
    <w:rsid w:val="5F9B21DE"/>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71E38"/>
    <w:rsid w:val="5FD81B05"/>
    <w:rsid w:val="5FD90E7D"/>
    <w:rsid w:val="5FE03432"/>
    <w:rsid w:val="5FE0419C"/>
    <w:rsid w:val="5FE20245"/>
    <w:rsid w:val="5FE96881"/>
    <w:rsid w:val="5FED1EEF"/>
    <w:rsid w:val="5FED76F1"/>
    <w:rsid w:val="5FF01193"/>
    <w:rsid w:val="5FF25A3D"/>
    <w:rsid w:val="5FF6336B"/>
    <w:rsid w:val="5FF715C5"/>
    <w:rsid w:val="5FF75810"/>
    <w:rsid w:val="5FFA2F28"/>
    <w:rsid w:val="5FFB5E04"/>
    <w:rsid w:val="5FFD564F"/>
    <w:rsid w:val="5FFF571B"/>
    <w:rsid w:val="60002026"/>
    <w:rsid w:val="600A68F3"/>
    <w:rsid w:val="600C6C27"/>
    <w:rsid w:val="60114A49"/>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93CA4"/>
    <w:rsid w:val="60565C5D"/>
    <w:rsid w:val="605706EA"/>
    <w:rsid w:val="60576163"/>
    <w:rsid w:val="605C06A5"/>
    <w:rsid w:val="605C602F"/>
    <w:rsid w:val="60630492"/>
    <w:rsid w:val="60631C75"/>
    <w:rsid w:val="6063674F"/>
    <w:rsid w:val="60636A7F"/>
    <w:rsid w:val="60663109"/>
    <w:rsid w:val="60676D39"/>
    <w:rsid w:val="606872E6"/>
    <w:rsid w:val="606C245E"/>
    <w:rsid w:val="6075657D"/>
    <w:rsid w:val="60766609"/>
    <w:rsid w:val="6077213A"/>
    <w:rsid w:val="60783C7B"/>
    <w:rsid w:val="60792FA4"/>
    <w:rsid w:val="6082166E"/>
    <w:rsid w:val="608D1571"/>
    <w:rsid w:val="608F46CF"/>
    <w:rsid w:val="60921840"/>
    <w:rsid w:val="60926DB8"/>
    <w:rsid w:val="60963776"/>
    <w:rsid w:val="609B57D6"/>
    <w:rsid w:val="609C310A"/>
    <w:rsid w:val="609E26E1"/>
    <w:rsid w:val="609F721B"/>
    <w:rsid w:val="60A04D08"/>
    <w:rsid w:val="60A3608E"/>
    <w:rsid w:val="60A75DF2"/>
    <w:rsid w:val="60A76E9A"/>
    <w:rsid w:val="60AC1F87"/>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32795"/>
    <w:rsid w:val="60D53DB3"/>
    <w:rsid w:val="60D806E3"/>
    <w:rsid w:val="60DA0804"/>
    <w:rsid w:val="60DC14CC"/>
    <w:rsid w:val="60E65742"/>
    <w:rsid w:val="60F2074A"/>
    <w:rsid w:val="60F276A8"/>
    <w:rsid w:val="60F537B4"/>
    <w:rsid w:val="60FD4CDF"/>
    <w:rsid w:val="60FF30E9"/>
    <w:rsid w:val="610F37DD"/>
    <w:rsid w:val="610F5EA7"/>
    <w:rsid w:val="611109B7"/>
    <w:rsid w:val="611722FB"/>
    <w:rsid w:val="611756B1"/>
    <w:rsid w:val="611A425C"/>
    <w:rsid w:val="611F3F83"/>
    <w:rsid w:val="612400B1"/>
    <w:rsid w:val="61241E30"/>
    <w:rsid w:val="612537AE"/>
    <w:rsid w:val="61275924"/>
    <w:rsid w:val="61297814"/>
    <w:rsid w:val="6131152F"/>
    <w:rsid w:val="61314A3A"/>
    <w:rsid w:val="6133736A"/>
    <w:rsid w:val="61376476"/>
    <w:rsid w:val="613A3980"/>
    <w:rsid w:val="613D0186"/>
    <w:rsid w:val="613D020A"/>
    <w:rsid w:val="6141098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9505C"/>
    <w:rsid w:val="619D2DAE"/>
    <w:rsid w:val="61A575A0"/>
    <w:rsid w:val="61A60794"/>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42299F"/>
    <w:rsid w:val="62477D14"/>
    <w:rsid w:val="624D66E9"/>
    <w:rsid w:val="624E4E9D"/>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D77DB"/>
    <w:rsid w:val="62A01782"/>
    <w:rsid w:val="62A113D6"/>
    <w:rsid w:val="62A405F9"/>
    <w:rsid w:val="62A56970"/>
    <w:rsid w:val="62A8670C"/>
    <w:rsid w:val="62AB6F11"/>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1661D3"/>
    <w:rsid w:val="631810EA"/>
    <w:rsid w:val="631D1D39"/>
    <w:rsid w:val="631E222D"/>
    <w:rsid w:val="6323302E"/>
    <w:rsid w:val="632977E3"/>
    <w:rsid w:val="632A1138"/>
    <w:rsid w:val="6330188F"/>
    <w:rsid w:val="63313EBB"/>
    <w:rsid w:val="63317B20"/>
    <w:rsid w:val="63350DAD"/>
    <w:rsid w:val="6336067D"/>
    <w:rsid w:val="6339751D"/>
    <w:rsid w:val="634031E9"/>
    <w:rsid w:val="6340632E"/>
    <w:rsid w:val="63437EDA"/>
    <w:rsid w:val="63473774"/>
    <w:rsid w:val="634C765A"/>
    <w:rsid w:val="634D40CD"/>
    <w:rsid w:val="635461B2"/>
    <w:rsid w:val="63575B45"/>
    <w:rsid w:val="635E102B"/>
    <w:rsid w:val="636A01C5"/>
    <w:rsid w:val="636A2211"/>
    <w:rsid w:val="636B2B6D"/>
    <w:rsid w:val="636B405F"/>
    <w:rsid w:val="636E5C34"/>
    <w:rsid w:val="636E78D6"/>
    <w:rsid w:val="63761364"/>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B0953"/>
    <w:rsid w:val="639B3553"/>
    <w:rsid w:val="639D0208"/>
    <w:rsid w:val="63A374B6"/>
    <w:rsid w:val="63AB639F"/>
    <w:rsid w:val="63AC7321"/>
    <w:rsid w:val="63AD1985"/>
    <w:rsid w:val="63AF1918"/>
    <w:rsid w:val="63B06343"/>
    <w:rsid w:val="63BA049D"/>
    <w:rsid w:val="63BA22BB"/>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50BB"/>
    <w:rsid w:val="64180119"/>
    <w:rsid w:val="641C0F05"/>
    <w:rsid w:val="641C50A9"/>
    <w:rsid w:val="64267AFF"/>
    <w:rsid w:val="642A67B5"/>
    <w:rsid w:val="642D2CFD"/>
    <w:rsid w:val="642D2D5A"/>
    <w:rsid w:val="642D6A93"/>
    <w:rsid w:val="642E7CA6"/>
    <w:rsid w:val="642F0F64"/>
    <w:rsid w:val="64341486"/>
    <w:rsid w:val="643914E5"/>
    <w:rsid w:val="64393986"/>
    <w:rsid w:val="643C2047"/>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D7C7B"/>
    <w:rsid w:val="64B36EA6"/>
    <w:rsid w:val="64B74F3F"/>
    <w:rsid w:val="64BA58E6"/>
    <w:rsid w:val="64BC4D6F"/>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B7739"/>
    <w:rsid w:val="650E6BF3"/>
    <w:rsid w:val="6514292A"/>
    <w:rsid w:val="65154EBF"/>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36130"/>
    <w:rsid w:val="65A92399"/>
    <w:rsid w:val="65A93355"/>
    <w:rsid w:val="65AC519A"/>
    <w:rsid w:val="65AF2C36"/>
    <w:rsid w:val="65B017AE"/>
    <w:rsid w:val="65B36605"/>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376A4"/>
    <w:rsid w:val="65E42CDF"/>
    <w:rsid w:val="65E4532A"/>
    <w:rsid w:val="65E62049"/>
    <w:rsid w:val="65E66712"/>
    <w:rsid w:val="65E73F43"/>
    <w:rsid w:val="65E74299"/>
    <w:rsid w:val="65E766E6"/>
    <w:rsid w:val="65EB1AC0"/>
    <w:rsid w:val="65EB5CF4"/>
    <w:rsid w:val="65EB685C"/>
    <w:rsid w:val="65F51B70"/>
    <w:rsid w:val="65F632D7"/>
    <w:rsid w:val="65F726AB"/>
    <w:rsid w:val="65FB140B"/>
    <w:rsid w:val="66070A73"/>
    <w:rsid w:val="660950AB"/>
    <w:rsid w:val="660C6FF1"/>
    <w:rsid w:val="660D6761"/>
    <w:rsid w:val="660E7776"/>
    <w:rsid w:val="6616214E"/>
    <w:rsid w:val="6617214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71411E"/>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E2D34"/>
    <w:rsid w:val="66D215FD"/>
    <w:rsid w:val="66D27779"/>
    <w:rsid w:val="66D32B33"/>
    <w:rsid w:val="66D743D4"/>
    <w:rsid w:val="66D748E8"/>
    <w:rsid w:val="66DE22FE"/>
    <w:rsid w:val="66E04950"/>
    <w:rsid w:val="66E06C7B"/>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D174B3"/>
    <w:rsid w:val="67D45010"/>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6509"/>
    <w:rsid w:val="69017ACE"/>
    <w:rsid w:val="69070B81"/>
    <w:rsid w:val="690A753C"/>
    <w:rsid w:val="690C414B"/>
    <w:rsid w:val="690D60D1"/>
    <w:rsid w:val="690D6781"/>
    <w:rsid w:val="6910295A"/>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90F21"/>
    <w:rsid w:val="6A5965E0"/>
    <w:rsid w:val="6A5B0617"/>
    <w:rsid w:val="6A5D01A5"/>
    <w:rsid w:val="6A60097B"/>
    <w:rsid w:val="6A645B9C"/>
    <w:rsid w:val="6A691672"/>
    <w:rsid w:val="6A695AA5"/>
    <w:rsid w:val="6A6A46DA"/>
    <w:rsid w:val="6A6F6718"/>
    <w:rsid w:val="6A6F67A2"/>
    <w:rsid w:val="6A711589"/>
    <w:rsid w:val="6A763C2C"/>
    <w:rsid w:val="6A7C13F2"/>
    <w:rsid w:val="6A7F1FAF"/>
    <w:rsid w:val="6A843A8E"/>
    <w:rsid w:val="6A912590"/>
    <w:rsid w:val="6A916675"/>
    <w:rsid w:val="6A917224"/>
    <w:rsid w:val="6A9668E4"/>
    <w:rsid w:val="6A9B6710"/>
    <w:rsid w:val="6A9C62FC"/>
    <w:rsid w:val="6A9F1C46"/>
    <w:rsid w:val="6AA552AB"/>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93BEA"/>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4E32A9"/>
    <w:rsid w:val="6B570852"/>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1764D"/>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44CB5"/>
    <w:rsid w:val="6C365A73"/>
    <w:rsid w:val="6C3E1799"/>
    <w:rsid w:val="6C40548A"/>
    <w:rsid w:val="6C477159"/>
    <w:rsid w:val="6C4A6018"/>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102A"/>
    <w:rsid w:val="6C7B5281"/>
    <w:rsid w:val="6C7C6C3F"/>
    <w:rsid w:val="6C7C787B"/>
    <w:rsid w:val="6C7D2FC6"/>
    <w:rsid w:val="6C7D54FB"/>
    <w:rsid w:val="6C807D56"/>
    <w:rsid w:val="6C8139CF"/>
    <w:rsid w:val="6C850598"/>
    <w:rsid w:val="6C8903E5"/>
    <w:rsid w:val="6C8B5838"/>
    <w:rsid w:val="6C8B71BB"/>
    <w:rsid w:val="6C8C451C"/>
    <w:rsid w:val="6C8D532E"/>
    <w:rsid w:val="6C91162D"/>
    <w:rsid w:val="6C91192B"/>
    <w:rsid w:val="6C9C14EB"/>
    <w:rsid w:val="6C9E700E"/>
    <w:rsid w:val="6C9E72A3"/>
    <w:rsid w:val="6CA155DB"/>
    <w:rsid w:val="6CA608C6"/>
    <w:rsid w:val="6CA9732A"/>
    <w:rsid w:val="6CAB458D"/>
    <w:rsid w:val="6CAC0C69"/>
    <w:rsid w:val="6CAD203E"/>
    <w:rsid w:val="6CB00948"/>
    <w:rsid w:val="6CB17691"/>
    <w:rsid w:val="6CB447AB"/>
    <w:rsid w:val="6CBA067C"/>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213C3"/>
    <w:rsid w:val="6DE3001B"/>
    <w:rsid w:val="6DE37B7C"/>
    <w:rsid w:val="6DE86A47"/>
    <w:rsid w:val="6DEF6992"/>
    <w:rsid w:val="6DF53564"/>
    <w:rsid w:val="6DF96BBF"/>
    <w:rsid w:val="6DFA5C2C"/>
    <w:rsid w:val="6DFA6EB2"/>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A1ECD"/>
    <w:rsid w:val="6E9A4712"/>
    <w:rsid w:val="6E9C6DEE"/>
    <w:rsid w:val="6EA72584"/>
    <w:rsid w:val="6EAC37C0"/>
    <w:rsid w:val="6EAC5039"/>
    <w:rsid w:val="6EAF68AF"/>
    <w:rsid w:val="6EBA62F4"/>
    <w:rsid w:val="6EBF5405"/>
    <w:rsid w:val="6EC11395"/>
    <w:rsid w:val="6EC226BC"/>
    <w:rsid w:val="6EC70AF1"/>
    <w:rsid w:val="6EC93767"/>
    <w:rsid w:val="6EC9533D"/>
    <w:rsid w:val="6ECB6432"/>
    <w:rsid w:val="6ECC72CB"/>
    <w:rsid w:val="6ECF657F"/>
    <w:rsid w:val="6ED04C11"/>
    <w:rsid w:val="6ED473C1"/>
    <w:rsid w:val="6ED73F2E"/>
    <w:rsid w:val="6ED96542"/>
    <w:rsid w:val="6EE07ED4"/>
    <w:rsid w:val="6EE34E5E"/>
    <w:rsid w:val="6EE639F5"/>
    <w:rsid w:val="6EE710F1"/>
    <w:rsid w:val="6EE924FA"/>
    <w:rsid w:val="6EED0FD6"/>
    <w:rsid w:val="6F0514F3"/>
    <w:rsid w:val="6F0B6FA8"/>
    <w:rsid w:val="6F0C5AD3"/>
    <w:rsid w:val="6F0D3E81"/>
    <w:rsid w:val="6F0D48BC"/>
    <w:rsid w:val="6F1156D9"/>
    <w:rsid w:val="6F1709FF"/>
    <w:rsid w:val="6F1C5E77"/>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A11692"/>
    <w:rsid w:val="6FA2172F"/>
    <w:rsid w:val="6FA2371B"/>
    <w:rsid w:val="6FA6078A"/>
    <w:rsid w:val="6FA8423D"/>
    <w:rsid w:val="6FAD7B1E"/>
    <w:rsid w:val="6FAE0AA0"/>
    <w:rsid w:val="6FB21CE7"/>
    <w:rsid w:val="6FB774AA"/>
    <w:rsid w:val="6FB9118B"/>
    <w:rsid w:val="6FCB107E"/>
    <w:rsid w:val="6FCD3EC9"/>
    <w:rsid w:val="6FCF6CA4"/>
    <w:rsid w:val="6FD80805"/>
    <w:rsid w:val="6FE076D7"/>
    <w:rsid w:val="6FE16702"/>
    <w:rsid w:val="6FE45E8D"/>
    <w:rsid w:val="6FE77F2B"/>
    <w:rsid w:val="6FEA320D"/>
    <w:rsid w:val="6FF145C9"/>
    <w:rsid w:val="6FF30B8D"/>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36DD"/>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6023B"/>
    <w:rsid w:val="70F6244C"/>
    <w:rsid w:val="70F940EF"/>
    <w:rsid w:val="71012EA6"/>
    <w:rsid w:val="7103696A"/>
    <w:rsid w:val="71040A1F"/>
    <w:rsid w:val="710B7340"/>
    <w:rsid w:val="710F4ED4"/>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F2B70"/>
    <w:rsid w:val="715475D5"/>
    <w:rsid w:val="71562224"/>
    <w:rsid w:val="7156303E"/>
    <w:rsid w:val="71577303"/>
    <w:rsid w:val="71582DBE"/>
    <w:rsid w:val="71593DC8"/>
    <w:rsid w:val="715D0558"/>
    <w:rsid w:val="715E73FF"/>
    <w:rsid w:val="716518C7"/>
    <w:rsid w:val="716727F7"/>
    <w:rsid w:val="71685F22"/>
    <w:rsid w:val="71691E02"/>
    <w:rsid w:val="71694B75"/>
    <w:rsid w:val="716C3BD4"/>
    <w:rsid w:val="71700F30"/>
    <w:rsid w:val="7170513A"/>
    <w:rsid w:val="71780E07"/>
    <w:rsid w:val="71782D3F"/>
    <w:rsid w:val="71794F0E"/>
    <w:rsid w:val="717C709B"/>
    <w:rsid w:val="717E1905"/>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F17DE0"/>
    <w:rsid w:val="71F22052"/>
    <w:rsid w:val="71F36FC4"/>
    <w:rsid w:val="71F40466"/>
    <w:rsid w:val="71F803DB"/>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4B0B"/>
    <w:rsid w:val="73A71C93"/>
    <w:rsid w:val="73A771E2"/>
    <w:rsid w:val="73A941D7"/>
    <w:rsid w:val="73AA046C"/>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C2157"/>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6493B"/>
    <w:rsid w:val="743738FA"/>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9126F5"/>
    <w:rsid w:val="74916200"/>
    <w:rsid w:val="74942F1C"/>
    <w:rsid w:val="74981A4B"/>
    <w:rsid w:val="74991692"/>
    <w:rsid w:val="749934E5"/>
    <w:rsid w:val="749B168A"/>
    <w:rsid w:val="749C23CF"/>
    <w:rsid w:val="749D60E4"/>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7B6B"/>
    <w:rsid w:val="74EF34E2"/>
    <w:rsid w:val="74F7059F"/>
    <w:rsid w:val="74FA6E85"/>
    <w:rsid w:val="74FC55B2"/>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70F2"/>
    <w:rsid w:val="753A5176"/>
    <w:rsid w:val="753B1C65"/>
    <w:rsid w:val="753E6974"/>
    <w:rsid w:val="75425B7B"/>
    <w:rsid w:val="75484A46"/>
    <w:rsid w:val="755068B1"/>
    <w:rsid w:val="75522400"/>
    <w:rsid w:val="75535516"/>
    <w:rsid w:val="7558021F"/>
    <w:rsid w:val="75582025"/>
    <w:rsid w:val="755A45B1"/>
    <w:rsid w:val="755C6AC8"/>
    <w:rsid w:val="755D6C2F"/>
    <w:rsid w:val="756103A4"/>
    <w:rsid w:val="75653FF8"/>
    <w:rsid w:val="756C612D"/>
    <w:rsid w:val="756D06E2"/>
    <w:rsid w:val="75725287"/>
    <w:rsid w:val="757255CF"/>
    <w:rsid w:val="757331C6"/>
    <w:rsid w:val="757856F7"/>
    <w:rsid w:val="757A55A8"/>
    <w:rsid w:val="757D259B"/>
    <w:rsid w:val="757D5B0D"/>
    <w:rsid w:val="757E59E5"/>
    <w:rsid w:val="758421E3"/>
    <w:rsid w:val="75860D58"/>
    <w:rsid w:val="7587038F"/>
    <w:rsid w:val="75887A18"/>
    <w:rsid w:val="758C6A4A"/>
    <w:rsid w:val="7592731A"/>
    <w:rsid w:val="75936744"/>
    <w:rsid w:val="75941DEA"/>
    <w:rsid w:val="75974966"/>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6028F3"/>
    <w:rsid w:val="76621668"/>
    <w:rsid w:val="7663747F"/>
    <w:rsid w:val="76653B86"/>
    <w:rsid w:val="76670D3C"/>
    <w:rsid w:val="7668452B"/>
    <w:rsid w:val="766D0255"/>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203C4"/>
    <w:rsid w:val="76D31094"/>
    <w:rsid w:val="76D41890"/>
    <w:rsid w:val="76D46521"/>
    <w:rsid w:val="76D91F00"/>
    <w:rsid w:val="76DD2C7E"/>
    <w:rsid w:val="76E039E1"/>
    <w:rsid w:val="76E26FB6"/>
    <w:rsid w:val="76E34ABF"/>
    <w:rsid w:val="76ED64CE"/>
    <w:rsid w:val="76F2395E"/>
    <w:rsid w:val="76F31266"/>
    <w:rsid w:val="76F40149"/>
    <w:rsid w:val="76FC0D3E"/>
    <w:rsid w:val="77000FA8"/>
    <w:rsid w:val="77036484"/>
    <w:rsid w:val="77040D4E"/>
    <w:rsid w:val="77063A55"/>
    <w:rsid w:val="7713369E"/>
    <w:rsid w:val="77137720"/>
    <w:rsid w:val="771615BC"/>
    <w:rsid w:val="77201F5A"/>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93427"/>
    <w:rsid w:val="775B11C5"/>
    <w:rsid w:val="775E5354"/>
    <w:rsid w:val="776601B0"/>
    <w:rsid w:val="776A75AE"/>
    <w:rsid w:val="776C07B1"/>
    <w:rsid w:val="776E6E7D"/>
    <w:rsid w:val="77700C8A"/>
    <w:rsid w:val="77700F4E"/>
    <w:rsid w:val="777B53F0"/>
    <w:rsid w:val="777E7888"/>
    <w:rsid w:val="77827F3C"/>
    <w:rsid w:val="778625DF"/>
    <w:rsid w:val="77891759"/>
    <w:rsid w:val="778C5D71"/>
    <w:rsid w:val="778D16EC"/>
    <w:rsid w:val="778E653C"/>
    <w:rsid w:val="779A2783"/>
    <w:rsid w:val="779E2251"/>
    <w:rsid w:val="77A67B3A"/>
    <w:rsid w:val="77A946BE"/>
    <w:rsid w:val="77AB17FD"/>
    <w:rsid w:val="77AE069A"/>
    <w:rsid w:val="77AE4FBA"/>
    <w:rsid w:val="77B01BAD"/>
    <w:rsid w:val="77B55F2E"/>
    <w:rsid w:val="77BB3206"/>
    <w:rsid w:val="77BD5588"/>
    <w:rsid w:val="77C74FC7"/>
    <w:rsid w:val="77C83D3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A529A"/>
    <w:rsid w:val="793A6FE7"/>
    <w:rsid w:val="793E3F5B"/>
    <w:rsid w:val="79407FE6"/>
    <w:rsid w:val="79454FCA"/>
    <w:rsid w:val="794562E9"/>
    <w:rsid w:val="794D313C"/>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905881"/>
    <w:rsid w:val="7993078C"/>
    <w:rsid w:val="79940327"/>
    <w:rsid w:val="79986787"/>
    <w:rsid w:val="799930BE"/>
    <w:rsid w:val="799E0FC1"/>
    <w:rsid w:val="799E52E5"/>
    <w:rsid w:val="79A06AD3"/>
    <w:rsid w:val="79A50A5D"/>
    <w:rsid w:val="79AB3E50"/>
    <w:rsid w:val="79AC02B0"/>
    <w:rsid w:val="79AC0682"/>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A005EA2"/>
    <w:rsid w:val="7A0256C8"/>
    <w:rsid w:val="7A0365DC"/>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6F4756"/>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E7545"/>
    <w:rsid w:val="7AC008E5"/>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7491"/>
    <w:rsid w:val="7B127E44"/>
    <w:rsid w:val="7B145D8D"/>
    <w:rsid w:val="7B1672BC"/>
    <w:rsid w:val="7B1C3518"/>
    <w:rsid w:val="7B2058A4"/>
    <w:rsid w:val="7B221D52"/>
    <w:rsid w:val="7B280810"/>
    <w:rsid w:val="7B28618E"/>
    <w:rsid w:val="7B2D137C"/>
    <w:rsid w:val="7B307E45"/>
    <w:rsid w:val="7B321AA8"/>
    <w:rsid w:val="7B327380"/>
    <w:rsid w:val="7B3714AA"/>
    <w:rsid w:val="7B374F6A"/>
    <w:rsid w:val="7B422126"/>
    <w:rsid w:val="7B42499F"/>
    <w:rsid w:val="7B4310C8"/>
    <w:rsid w:val="7B483ECF"/>
    <w:rsid w:val="7B4A2715"/>
    <w:rsid w:val="7B582490"/>
    <w:rsid w:val="7B585304"/>
    <w:rsid w:val="7B586292"/>
    <w:rsid w:val="7B5B3475"/>
    <w:rsid w:val="7B5C36C7"/>
    <w:rsid w:val="7B5D2270"/>
    <w:rsid w:val="7B611FDD"/>
    <w:rsid w:val="7B6426D2"/>
    <w:rsid w:val="7B661228"/>
    <w:rsid w:val="7B6B1AD3"/>
    <w:rsid w:val="7B6B4049"/>
    <w:rsid w:val="7B6E4B64"/>
    <w:rsid w:val="7B710A31"/>
    <w:rsid w:val="7B750031"/>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C424BC"/>
    <w:rsid w:val="7BC4535B"/>
    <w:rsid w:val="7BC46081"/>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46220"/>
    <w:rsid w:val="7C54661F"/>
    <w:rsid w:val="7C566CDE"/>
    <w:rsid w:val="7C57216D"/>
    <w:rsid w:val="7C5870C1"/>
    <w:rsid w:val="7C5A4A36"/>
    <w:rsid w:val="7C5B25F7"/>
    <w:rsid w:val="7C621F85"/>
    <w:rsid w:val="7C63439C"/>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751E1"/>
    <w:rsid w:val="7CB75F84"/>
    <w:rsid w:val="7CBB5935"/>
    <w:rsid w:val="7CBD5E1E"/>
    <w:rsid w:val="7CC15FE7"/>
    <w:rsid w:val="7CCB5CB6"/>
    <w:rsid w:val="7CD05788"/>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259E9"/>
    <w:rsid w:val="7D144011"/>
    <w:rsid w:val="7D155CA8"/>
    <w:rsid w:val="7D1E136C"/>
    <w:rsid w:val="7D1E6F60"/>
    <w:rsid w:val="7D2840E2"/>
    <w:rsid w:val="7D287D2A"/>
    <w:rsid w:val="7D292ECD"/>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E43C0"/>
    <w:rsid w:val="7D516F35"/>
    <w:rsid w:val="7D5356AC"/>
    <w:rsid w:val="7D590603"/>
    <w:rsid w:val="7D5C141B"/>
    <w:rsid w:val="7D673721"/>
    <w:rsid w:val="7D6868B0"/>
    <w:rsid w:val="7D697935"/>
    <w:rsid w:val="7D6A29C1"/>
    <w:rsid w:val="7D702816"/>
    <w:rsid w:val="7D722A42"/>
    <w:rsid w:val="7D744717"/>
    <w:rsid w:val="7D766F1F"/>
    <w:rsid w:val="7D7703E4"/>
    <w:rsid w:val="7D774FB5"/>
    <w:rsid w:val="7D792BFE"/>
    <w:rsid w:val="7D7A3784"/>
    <w:rsid w:val="7D7C47F9"/>
    <w:rsid w:val="7D7D04E0"/>
    <w:rsid w:val="7D80721F"/>
    <w:rsid w:val="7D814334"/>
    <w:rsid w:val="7D816EC1"/>
    <w:rsid w:val="7D86626D"/>
    <w:rsid w:val="7D89693E"/>
    <w:rsid w:val="7D8A3AB9"/>
    <w:rsid w:val="7D8F1815"/>
    <w:rsid w:val="7D930D9E"/>
    <w:rsid w:val="7D931DE0"/>
    <w:rsid w:val="7D933008"/>
    <w:rsid w:val="7D965341"/>
    <w:rsid w:val="7D977690"/>
    <w:rsid w:val="7D9A4D3B"/>
    <w:rsid w:val="7D9C12A6"/>
    <w:rsid w:val="7DA1614E"/>
    <w:rsid w:val="7DA40D12"/>
    <w:rsid w:val="7DB21808"/>
    <w:rsid w:val="7DB60ACE"/>
    <w:rsid w:val="7DB77C35"/>
    <w:rsid w:val="7DB92F00"/>
    <w:rsid w:val="7DB956F2"/>
    <w:rsid w:val="7DBD5EF8"/>
    <w:rsid w:val="7DBE49DF"/>
    <w:rsid w:val="7DC5369E"/>
    <w:rsid w:val="7DC86317"/>
    <w:rsid w:val="7DCB7E91"/>
    <w:rsid w:val="7DD110DE"/>
    <w:rsid w:val="7DD223D1"/>
    <w:rsid w:val="7DD32F95"/>
    <w:rsid w:val="7DD62E14"/>
    <w:rsid w:val="7DDB20E4"/>
    <w:rsid w:val="7DDC5CAE"/>
    <w:rsid w:val="7DDD3C58"/>
    <w:rsid w:val="7DDD441F"/>
    <w:rsid w:val="7DDE134F"/>
    <w:rsid w:val="7DDF26CF"/>
    <w:rsid w:val="7DE004E0"/>
    <w:rsid w:val="7DE041BE"/>
    <w:rsid w:val="7DE10B81"/>
    <w:rsid w:val="7DE65F8C"/>
    <w:rsid w:val="7DE8222D"/>
    <w:rsid w:val="7DEB122E"/>
    <w:rsid w:val="7DED1CC1"/>
    <w:rsid w:val="7DF17546"/>
    <w:rsid w:val="7DF66782"/>
    <w:rsid w:val="7E043332"/>
    <w:rsid w:val="7E043D3E"/>
    <w:rsid w:val="7E0729B2"/>
    <w:rsid w:val="7E0B6BD7"/>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67EE0"/>
    <w:rsid w:val="7E480029"/>
    <w:rsid w:val="7E4C6AF4"/>
    <w:rsid w:val="7E4E59A1"/>
    <w:rsid w:val="7E501235"/>
    <w:rsid w:val="7E50643B"/>
    <w:rsid w:val="7E597CD7"/>
    <w:rsid w:val="7E5A0836"/>
    <w:rsid w:val="7E5C36EF"/>
    <w:rsid w:val="7E5C5FE5"/>
    <w:rsid w:val="7E5C65DD"/>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26EE"/>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720DFB"/>
    <w:rsid w:val="7F740400"/>
    <w:rsid w:val="7F7A0B58"/>
    <w:rsid w:val="7F7F111A"/>
    <w:rsid w:val="7F800A89"/>
    <w:rsid w:val="7F8125F1"/>
    <w:rsid w:val="7F813CBA"/>
    <w:rsid w:val="7F882981"/>
    <w:rsid w:val="7F8A1F60"/>
    <w:rsid w:val="7F8C41C2"/>
    <w:rsid w:val="7F9273F2"/>
    <w:rsid w:val="7F9815CA"/>
    <w:rsid w:val="7F9B2F2A"/>
    <w:rsid w:val="7F9D5A69"/>
    <w:rsid w:val="7F9D6865"/>
    <w:rsid w:val="7F9D7279"/>
    <w:rsid w:val="7FA236B3"/>
    <w:rsid w:val="7FA252EE"/>
    <w:rsid w:val="7FA34C3A"/>
    <w:rsid w:val="7FA72463"/>
    <w:rsid w:val="7FA811F4"/>
    <w:rsid w:val="7FB062FF"/>
    <w:rsid w:val="7FB21E7B"/>
    <w:rsid w:val="7FBF6447"/>
    <w:rsid w:val="7FC31381"/>
    <w:rsid w:val="7FC441A9"/>
    <w:rsid w:val="7FC6202E"/>
    <w:rsid w:val="7FC9033D"/>
    <w:rsid w:val="7FC922DA"/>
    <w:rsid w:val="7FCD2732"/>
    <w:rsid w:val="7FCE46AF"/>
    <w:rsid w:val="7FD23D65"/>
    <w:rsid w:val="7FD47013"/>
    <w:rsid w:val="7FD70E32"/>
    <w:rsid w:val="7FE04EAD"/>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
    <w:basedOn w:val="1"/>
    <w:qFormat/>
    <w:uiPriority w:val="0"/>
    <w:pPr>
      <w:spacing w:before="0" w:after="0"/>
      <w:ind w:left="840" w:leftChars="400"/>
      <w:jc w:val="left"/>
    </w:pPr>
    <w:rPr>
      <w:rFonts w:ascii="Times" w:hAnsi="Times" w:eastAsia="Batang"/>
      <w:szCs w:val="24"/>
    </w:rPr>
  </w:style>
  <w:style w:type="character" w:customStyle="1" w:styleId="129">
    <w:name w:val="列表段落 字符"/>
    <w:basedOn w:val="29"/>
    <w:qFormat/>
    <w:uiPriority w:val="0"/>
    <w:rPr>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9.png"/><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5977</Words>
  <Characters>34069</Characters>
  <Lines>283</Lines>
  <Paragraphs>79</Paragraphs>
  <TotalTime>2</TotalTime>
  <ScaleCrop>false</ScaleCrop>
  <LinksUpToDate>false</LinksUpToDate>
  <CharactersWithSpaces>39967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2022-11-07T02:37:00Z</dcterms:created>
  <dc:creator>ZTE</dc:creator>
  <cp:lastModifiedBy>Yang</cp:lastModifiedBy>
  <dcterms:modified xsi:type="dcterms:W3CDTF">2023-05-15T08:08:02Z</dcterms:modified>
  <dc:title>Full Tx Power</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